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0"/>
        <w:gridCol w:w="699"/>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BC750F" w:rsidRDefault="0091117F" w:rsidP="00C815C9">
            <w:pPr>
              <w:jc w:val="center"/>
              <w:rPr>
                <w:rFonts w:asciiTheme="minorHAnsi" w:hAnsiTheme="minorHAnsi"/>
                <w:b/>
                <w:bCs/>
                <w:color w:val="FFFFFF" w:themeColor="background1"/>
                <w:sz w:val="40"/>
                <w:szCs w:val="40"/>
              </w:rPr>
            </w:pPr>
            <w:bookmarkStart w:id="0" w:name="_Hlk180564343"/>
            <w:r w:rsidRPr="00BC750F">
              <w:rPr>
                <w:rFonts w:asciiTheme="minorHAnsi" w:hAnsiTheme="minorHAnsi"/>
                <w:b/>
                <w:bCs/>
                <w:color w:val="FFFFFF" w:themeColor="background1"/>
                <w:sz w:val="40"/>
                <w:szCs w:val="40"/>
              </w:rPr>
              <w:t>ОЗЕЛЕНУВАЊЕ НА БИЗНИСОТ</w:t>
            </w:r>
          </w:p>
          <w:bookmarkEnd w:id="0"/>
          <w:p w14:paraId="154717B4" w14:textId="7F92CEB9" w:rsidR="002C508E" w:rsidRPr="00BC750F" w:rsidRDefault="00B8041F" w:rsidP="002C508E">
            <w:pPr>
              <w:jc w:val="center"/>
              <w:rPr>
                <w:rFonts w:asciiTheme="minorHAnsi" w:hAnsiTheme="minorHAnsi"/>
                <w:b/>
                <w:bCs/>
                <w:color w:val="FFFFFF" w:themeColor="background1"/>
                <w:sz w:val="40"/>
                <w:szCs w:val="40"/>
              </w:rPr>
            </w:pPr>
            <w:r>
              <w:rPr>
                <w:rFonts w:asciiTheme="minorHAnsi" w:hAnsiTheme="minorHAnsi"/>
                <w:b/>
                <w:bCs/>
                <w:color w:val="FFFFFF" w:themeColor="background1"/>
                <w:sz w:val="40"/>
                <w:szCs w:val="40"/>
              </w:rPr>
              <w:t>ВОДИЧ - ПИКТОГРАМИ НА ОПАСНОСТИ</w:t>
            </w: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од активноста:</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25983D45" w:rsidR="00F05BAE" w:rsidRPr="00BC750F" w:rsidRDefault="0014142F" w:rsidP="00794499">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на документ:</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Материјал за обука</w:t>
            </w:r>
          </w:p>
        </w:tc>
      </w:tr>
      <w:tr w:rsidR="00753E16" w:rsidRPr="00BC750F" w14:paraId="4B7B7ED8" w14:textId="77777777" w:rsidTr="007743B7">
        <w:trPr>
          <w:trHeight w:val="439"/>
        </w:trPr>
        <w:tc>
          <w:tcPr>
            <w:tcW w:w="2518" w:type="dxa"/>
            <w:shd w:val="clear" w:color="auto" w:fill="C6D9F1" w:themeFill="text2" w:themeFillTint="33"/>
            <w:vAlign w:val="center"/>
          </w:tcPr>
          <w:p w14:paraId="05D28059" w14:textId="41C72A85" w:rsidR="00753E16" w:rsidRPr="00BC750F" w:rsidRDefault="00753E16" w:rsidP="00753E16">
            <w:pPr>
              <w:jc w:val="both"/>
              <w:rPr>
                <w:rFonts w:asciiTheme="minorHAnsi" w:hAnsiTheme="minorHAnsi"/>
              </w:rPr>
            </w:pPr>
            <w:r w:rsidRPr="00BC750F">
              <w:rPr>
                <w:rFonts w:asciiTheme="minorHAnsi" w:hAnsiTheme="minorHAnsi"/>
              </w:rPr>
              <w:t>Одговорен партнер:</w:t>
            </w:r>
          </w:p>
        </w:tc>
        <w:sdt>
          <w:sdtPr>
            <w:rPr>
              <w:rFonts w:asciiTheme="minorHAnsi" w:hAnsiTheme="minorHAnsi"/>
            </w:rPr>
            <w:id w:val="-1904670498"/>
            <w:placeholder>
              <w:docPart w:val="638680EF949D40D6A415342A8F818121"/>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етчиска комора Скопје" w:value="Занаетчиска комора Скопје"/>
            </w:dropDownList>
          </w:sdtPr>
          <w:sdtContent>
            <w:tc>
              <w:tcPr>
                <w:tcW w:w="7360" w:type="dxa"/>
                <w:vAlign w:val="center"/>
              </w:tcPr>
              <w:p w14:paraId="77928815" w14:textId="075CA9B0" w:rsidR="00753E16" w:rsidRPr="00BC750F" w:rsidRDefault="004754BA" w:rsidP="00753E16">
                <w:pPr>
                  <w:rPr>
                    <w:rFonts w:asciiTheme="minorHAnsi" w:hAnsiTheme="minorHAnsi"/>
                  </w:rPr>
                </w:pPr>
                <w:r w:rsidRPr="001949C2">
                  <w:rPr>
                    <w:rFonts w:asciiTheme="minorHAnsi" w:hAnsiTheme="minorHAnsi"/>
                  </w:rPr>
                  <w:t>Центар за развој Јабланичког и Пчињског округа Лесковац Србија</w:t>
                </w:r>
              </w:p>
            </w:tc>
          </w:sdtContent>
        </w:sdt>
      </w:tr>
      <w:tr w:rsidR="0091348E" w:rsidRPr="00BC750F" w14:paraId="6D1BD434" w14:textId="77777777" w:rsidTr="007743B7">
        <w:trPr>
          <w:trHeight w:val="439"/>
        </w:trPr>
        <w:tc>
          <w:tcPr>
            <w:tcW w:w="2518" w:type="dxa"/>
            <w:shd w:val="clear" w:color="auto" w:fill="C6D9F1" w:themeFill="text2" w:themeFillTint="33"/>
            <w:vAlign w:val="center"/>
          </w:tcPr>
          <w:p w14:paraId="5F063FEE" w14:textId="7C2D3243" w:rsidR="007743B7" w:rsidRPr="00BC750F" w:rsidRDefault="007743B7" w:rsidP="007743B7">
            <w:pPr>
              <w:jc w:val="both"/>
              <w:rPr>
                <w:rFonts w:asciiTheme="minorHAnsi" w:hAnsiTheme="minorHAnsi"/>
              </w:rPr>
            </w:pPr>
            <w:r w:rsidRPr="00BC750F">
              <w:rPr>
                <w:rFonts w:asciiTheme="minorHAnsi" w:hAnsiTheme="minorHAnsi"/>
              </w:rPr>
              <w:t>Ниво на дисеминација:</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BC750F" w:rsidRDefault="007743B7" w:rsidP="007743B7">
                <w:pPr>
                  <w:jc w:val="both"/>
                  <w:rPr>
                    <w:rFonts w:asciiTheme="minorHAnsi" w:hAnsiTheme="minorHAnsi"/>
                  </w:rPr>
                </w:pPr>
                <w:r w:rsidRPr="00BC750F">
                  <w:rPr>
                    <w:rFonts w:asciiTheme="minorHAnsi" w:hAnsiTheme="minorHAnsi"/>
                  </w:rPr>
                  <w:t>Јавно</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5"/>
        <w:gridCol w:w="2420"/>
        <w:gridCol w:w="2419"/>
        <w:gridCol w:w="2409"/>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Автор(и)</w:t>
            </w:r>
          </w:p>
        </w:tc>
      </w:tr>
      <w:tr w:rsidR="00787C68" w:rsidRPr="00BC750F" w14:paraId="67A228A8" w14:textId="77777777" w:rsidTr="003222E9">
        <w:tc>
          <w:tcPr>
            <w:tcW w:w="2469" w:type="dxa"/>
            <w:vAlign w:val="center"/>
          </w:tcPr>
          <w:p w14:paraId="035EE6F5" w14:textId="6D8E934D" w:rsidR="00787C68" w:rsidRPr="00BC750F" w:rsidRDefault="00753E16" w:rsidP="003222E9">
            <w:pPr>
              <w:spacing w:before="60" w:after="60"/>
              <w:jc w:val="center"/>
              <w:rPr>
                <w:rFonts w:asciiTheme="minorHAnsi" w:hAnsiTheme="minorHAnsi"/>
              </w:rPr>
            </w:pPr>
            <w:r w:rsidRPr="00BC750F">
              <w:rPr>
                <w:rFonts w:asciiTheme="minorHAnsi" w:hAnsiTheme="minorHAnsi"/>
              </w:rPr>
              <w:t>Верзија 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04.02.2025.</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PMT</w:t>
            </w:r>
          </w:p>
        </w:tc>
      </w:tr>
      <w:tr w:rsidR="00787C68" w:rsidRPr="00BC750F" w14:paraId="1345F947" w14:textId="77777777" w:rsidTr="00794499">
        <w:tc>
          <w:tcPr>
            <w:tcW w:w="2469" w:type="dxa"/>
            <w:vAlign w:val="bottom"/>
          </w:tcPr>
          <w:p w14:paraId="52FE94DD" w14:textId="0B17A6ED" w:rsidR="00787C68" w:rsidRPr="00BC750F" w:rsidRDefault="00753E16" w:rsidP="00794499">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Конечна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Одрекување:</w:t>
            </w:r>
          </w:p>
        </w:tc>
      </w:tr>
      <w:tr w:rsidR="00F60464" w:rsidRPr="00BC750F" w14:paraId="40749F26" w14:textId="77777777" w:rsidTr="001B5FE5">
        <w:tc>
          <w:tcPr>
            <w:tcW w:w="9879" w:type="dxa"/>
          </w:tcPr>
          <w:p w14:paraId="0AFA53FC" w14:textId="4378921F" w:rsidR="001B5FE5" w:rsidRPr="00BC750F" w:rsidRDefault="00DC234E" w:rsidP="001B5FE5">
            <w:pPr>
              <w:tabs>
                <w:tab w:val="left" w:pos="5724"/>
              </w:tabs>
              <w:jc w:val="both"/>
            </w:pPr>
            <w:r w:rsidRPr="00DC234E">
              <w:rPr>
                <w:rFonts w:asciiTheme="minorHAnsi" w:hAnsiTheme="minorHAnsi"/>
                <w:lang w:val="en-GB"/>
              </w:rPr>
              <w:t>Финансиран од Европската Унија. Изразените ставови се исклучиво на авторите и не мора да ги одразуваат ставовите на Европската Унија или Фондацијата Темпус. Под никакви околности Европската унија или давателот на наменски грантови не може да биде одговорен за нивната содржина.</w:t>
            </w:r>
          </w:p>
        </w:tc>
      </w:tr>
    </w:tbl>
    <w:p w14:paraId="46196CF8" w14:textId="77777777" w:rsidR="007743B7" w:rsidRDefault="007743B7" w:rsidP="007743B7"/>
    <w:p w14:paraId="7C1431FE" w14:textId="77777777" w:rsidR="00753E16" w:rsidRDefault="00753E16" w:rsidP="00582B89">
      <w:pPr>
        <w:jc w:val="both"/>
        <w:rPr>
          <w:b/>
          <w:bCs/>
          <w:color w:val="0000FF"/>
        </w:rPr>
      </w:pPr>
    </w:p>
    <w:p w14:paraId="64CB39A6" w14:textId="77777777" w:rsidR="00582B89" w:rsidRPr="005C236F" w:rsidRDefault="00582B89" w:rsidP="00582B89">
      <w:pPr>
        <w:jc w:val="both"/>
        <w:rPr>
          <w:b/>
          <w:bCs/>
          <w:color w:val="0000FF"/>
        </w:rPr>
      </w:pPr>
      <w:r w:rsidRPr="005C236F">
        <w:rPr>
          <w:b/>
          <w:bCs/>
          <w:color w:val="0000FF"/>
        </w:rPr>
        <w:t>ПИКТОГРАМИ ЗА ОПАСНОСТ</w:t>
      </w:r>
    </w:p>
    <w:p w14:paraId="636F713D" w14:textId="77777777" w:rsidR="00582B89" w:rsidRPr="005C236F" w:rsidRDefault="00582B89" w:rsidP="00582B89">
      <w:pPr>
        <w:jc w:val="both"/>
        <w:rPr>
          <w:color w:val="0000FF"/>
        </w:rPr>
      </w:pPr>
    </w:p>
    <w:p w14:paraId="45582C7E" w14:textId="2E2B9147" w:rsidR="00582B89" w:rsidRPr="005C236F" w:rsidRDefault="00582B89" w:rsidP="00582B89">
      <w:pPr>
        <w:jc w:val="both"/>
        <w:rPr>
          <w:color w:val="0000FF"/>
        </w:rPr>
      </w:pPr>
      <w:r w:rsidRPr="005C236F">
        <w:rPr>
          <w:color w:val="0000FF"/>
        </w:rPr>
        <w:t>Претпазливиот пристап во управувањето со хемикалиите ја нагласува проценката на опасностите од хемикалиите, односно класификацијата на хемикалиите пред да бидат пласирани на пазарот и информирањето на корисниците за нивните опасни својства преку етикетирање и безбедносни листови со податоци, со цел да се заштити здравјето на луѓето и животната средина. Класификацијата се врши во согласност со Глобално усогласениот систем на класификација и означување на ОН. Во процесот на класификација на опасните хемикалии, се доделуваат елементи за етикетирање кои одговараат на класата на опасност на хемикалијата, како што е графички приказ на опасноста (пиктограм) и текст што ги означува опасните својства на хемикалијата, кој мора да биде прикажан на етикетата или пакувањето на хемикалијата за да се осигура дека корисниците на хемиските опасни својства се соодветно информирани за хемиските својства. Пиктограм</w:t>
      </w:r>
      <w:r w:rsidRPr="005C236F">
        <w:rPr>
          <w:color w:val="0000FF"/>
          <w:lang w:val="en-US"/>
        </w:rPr>
        <w:t xml:space="preserve"> </w:t>
      </w:r>
      <w:r w:rsidRPr="005C236F">
        <w:rPr>
          <w:color w:val="0000FF"/>
        </w:rPr>
        <w:t>Пиктограмот на опасност е графички приказ на опасност кој се состои од сликовен симбол и други графички елементи како рамка и боја на позадина, што укажува на информации специфични за предметната опасност.</w:t>
      </w:r>
    </w:p>
    <w:p w14:paraId="62AFB6DD" w14:textId="77777777" w:rsidR="00582B89" w:rsidRDefault="00582B89" w:rsidP="00582B89">
      <w:pPr>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3221"/>
        <w:gridCol w:w="3221"/>
      </w:tblGrid>
      <w:tr w:rsidR="00186090" w14:paraId="0936EF6A" w14:textId="77777777" w:rsidTr="00186090">
        <w:tc>
          <w:tcPr>
            <w:tcW w:w="3221" w:type="dxa"/>
            <w:vAlign w:val="center"/>
          </w:tcPr>
          <w:p w14:paraId="2D48E5C6" w14:textId="77777777" w:rsidR="00186090" w:rsidRPr="00C10FF6" w:rsidRDefault="00186090" w:rsidP="00186090">
            <w:pPr>
              <w:jc w:val="center"/>
              <w:rPr>
                <w:noProof/>
                <w:color w:val="0000FF"/>
                <w:sz w:val="20"/>
                <w:szCs w:val="20"/>
              </w:rPr>
            </w:pPr>
          </w:p>
        </w:tc>
        <w:tc>
          <w:tcPr>
            <w:tcW w:w="3221" w:type="dxa"/>
            <w:vAlign w:val="center"/>
          </w:tcPr>
          <w:p w14:paraId="60A3BA4A" w14:textId="18D11DFD" w:rsidR="00186090" w:rsidRPr="00C10FF6" w:rsidRDefault="00186090" w:rsidP="00186090">
            <w:pPr>
              <w:jc w:val="center"/>
              <w:rPr>
                <w:b/>
                <w:bCs/>
                <w:color w:val="0000FF"/>
                <w:sz w:val="20"/>
                <w:szCs w:val="20"/>
              </w:rPr>
            </w:pPr>
            <w:r w:rsidRPr="00C10FF6">
              <w:rPr>
                <w:b/>
                <w:bCs/>
                <w:color w:val="0000FF"/>
                <w:sz w:val="20"/>
                <w:szCs w:val="20"/>
              </w:rPr>
              <w:t>ПИКТОГРАМИ ЗА ОПАСНОСТ</w:t>
            </w:r>
          </w:p>
        </w:tc>
        <w:tc>
          <w:tcPr>
            <w:tcW w:w="3221" w:type="dxa"/>
            <w:vAlign w:val="center"/>
          </w:tcPr>
          <w:p w14:paraId="042E8F2A" w14:textId="77777777" w:rsidR="00186090" w:rsidRPr="00C10FF6" w:rsidRDefault="00186090" w:rsidP="00186090">
            <w:pPr>
              <w:jc w:val="center"/>
              <w:rPr>
                <w:color w:val="0000FF"/>
                <w:sz w:val="20"/>
                <w:szCs w:val="20"/>
              </w:rPr>
            </w:pPr>
          </w:p>
        </w:tc>
      </w:tr>
      <w:tr w:rsidR="00186090" w:rsidRPr="00186090" w14:paraId="0B4C6E6E" w14:textId="77777777" w:rsidTr="00186090">
        <w:tc>
          <w:tcPr>
            <w:tcW w:w="3221" w:type="dxa"/>
            <w:tcBorders>
              <w:bottom w:val="single" w:sz="4" w:space="0" w:color="auto"/>
            </w:tcBorders>
            <w:vAlign w:val="center"/>
          </w:tcPr>
          <w:p w14:paraId="2DB1C0CE" w14:textId="77777777" w:rsidR="00186090" w:rsidRPr="00C10FF6" w:rsidRDefault="00186090" w:rsidP="00186090">
            <w:pPr>
              <w:jc w:val="center"/>
              <w:rPr>
                <w:noProof/>
                <w:color w:val="0000FF"/>
                <w:sz w:val="2"/>
                <w:szCs w:val="2"/>
              </w:rPr>
            </w:pPr>
          </w:p>
        </w:tc>
        <w:tc>
          <w:tcPr>
            <w:tcW w:w="3221" w:type="dxa"/>
            <w:tcBorders>
              <w:bottom w:val="single" w:sz="4" w:space="0" w:color="auto"/>
            </w:tcBorders>
            <w:vAlign w:val="center"/>
          </w:tcPr>
          <w:p w14:paraId="173E7AED" w14:textId="77777777" w:rsidR="00186090" w:rsidRPr="00C10FF6" w:rsidRDefault="00186090" w:rsidP="00186090">
            <w:pPr>
              <w:jc w:val="center"/>
              <w:rPr>
                <w:color w:val="0000FF"/>
                <w:sz w:val="2"/>
                <w:szCs w:val="2"/>
              </w:rPr>
            </w:pPr>
          </w:p>
        </w:tc>
        <w:tc>
          <w:tcPr>
            <w:tcW w:w="3221" w:type="dxa"/>
            <w:tcBorders>
              <w:bottom w:val="single" w:sz="4" w:space="0" w:color="auto"/>
            </w:tcBorders>
            <w:vAlign w:val="center"/>
          </w:tcPr>
          <w:p w14:paraId="52FE92A4" w14:textId="77777777" w:rsidR="00186090" w:rsidRPr="00C10FF6" w:rsidRDefault="00186090" w:rsidP="00186090">
            <w:pPr>
              <w:jc w:val="center"/>
              <w:rPr>
                <w:color w:val="0000FF"/>
                <w:sz w:val="2"/>
                <w:szCs w:val="2"/>
              </w:rPr>
            </w:pPr>
          </w:p>
        </w:tc>
      </w:tr>
      <w:tr w:rsidR="00582B89" w14:paraId="30E6EF0E" w14:textId="77777777" w:rsidTr="00186090">
        <w:tc>
          <w:tcPr>
            <w:tcW w:w="3221" w:type="dxa"/>
            <w:tcBorders>
              <w:top w:val="single" w:sz="4" w:space="0" w:color="auto"/>
              <w:left w:val="single" w:sz="4" w:space="0" w:color="auto"/>
              <w:right w:val="single" w:sz="4" w:space="0" w:color="auto"/>
            </w:tcBorders>
            <w:vAlign w:val="center"/>
          </w:tcPr>
          <w:p w14:paraId="1C80F730" w14:textId="77777777" w:rsidR="00582B89" w:rsidRPr="00C10FF6" w:rsidRDefault="00582B89" w:rsidP="00186090">
            <w:pPr>
              <w:jc w:val="center"/>
              <w:rPr>
                <w:color w:val="0000FF"/>
                <w:sz w:val="20"/>
                <w:szCs w:val="20"/>
              </w:rPr>
            </w:pPr>
            <w:r w:rsidRPr="00C10FF6">
              <w:rPr>
                <w:noProof/>
                <w:color w:val="0000FF"/>
                <w:sz w:val="20"/>
                <w:szCs w:val="20"/>
              </w:rPr>
              <w:t>Експлозивни хемикалии</w:t>
            </w:r>
          </w:p>
        </w:tc>
        <w:tc>
          <w:tcPr>
            <w:tcW w:w="3221" w:type="dxa"/>
            <w:tcBorders>
              <w:top w:val="single" w:sz="4" w:space="0" w:color="auto"/>
              <w:left w:val="single" w:sz="4" w:space="0" w:color="auto"/>
              <w:right w:val="single" w:sz="4" w:space="0" w:color="auto"/>
            </w:tcBorders>
            <w:vAlign w:val="center"/>
          </w:tcPr>
          <w:p w14:paraId="1A97A04A" w14:textId="77777777" w:rsidR="00582B89" w:rsidRPr="00C10FF6" w:rsidRDefault="00582B89" w:rsidP="00186090">
            <w:pPr>
              <w:jc w:val="center"/>
              <w:rPr>
                <w:color w:val="0000FF"/>
                <w:sz w:val="20"/>
                <w:szCs w:val="20"/>
              </w:rPr>
            </w:pPr>
            <w:r w:rsidRPr="00C10FF6">
              <w:rPr>
                <w:color w:val="0000FF"/>
                <w:sz w:val="20"/>
                <w:szCs w:val="20"/>
              </w:rPr>
              <w:t>Запаливи хемикалии</w:t>
            </w:r>
          </w:p>
        </w:tc>
        <w:tc>
          <w:tcPr>
            <w:tcW w:w="3221" w:type="dxa"/>
            <w:tcBorders>
              <w:top w:val="single" w:sz="4" w:space="0" w:color="auto"/>
              <w:left w:val="single" w:sz="4" w:space="0" w:color="auto"/>
              <w:right w:val="single" w:sz="4" w:space="0" w:color="auto"/>
            </w:tcBorders>
            <w:vAlign w:val="center"/>
          </w:tcPr>
          <w:p w14:paraId="45ED0508" w14:textId="77777777" w:rsidR="00582B89" w:rsidRPr="00C10FF6" w:rsidRDefault="00582B89" w:rsidP="00186090">
            <w:pPr>
              <w:jc w:val="center"/>
              <w:rPr>
                <w:color w:val="0000FF"/>
                <w:sz w:val="20"/>
                <w:szCs w:val="20"/>
              </w:rPr>
            </w:pPr>
            <w:r w:rsidRPr="00C10FF6">
              <w:rPr>
                <w:color w:val="0000FF"/>
                <w:sz w:val="20"/>
                <w:szCs w:val="20"/>
              </w:rPr>
              <w:t>Оксидирачки хемикалии</w:t>
            </w:r>
          </w:p>
        </w:tc>
      </w:tr>
      <w:tr w:rsidR="00582B89" w:rsidRPr="00C10FF6" w14:paraId="4CF3584F" w14:textId="77777777" w:rsidTr="00186090">
        <w:tc>
          <w:tcPr>
            <w:tcW w:w="3221" w:type="dxa"/>
            <w:tcBorders>
              <w:left w:val="single" w:sz="4" w:space="0" w:color="auto"/>
              <w:bottom w:val="single" w:sz="4" w:space="0" w:color="auto"/>
              <w:right w:val="single" w:sz="4" w:space="0" w:color="auto"/>
            </w:tcBorders>
            <w:vAlign w:val="center"/>
          </w:tcPr>
          <w:p w14:paraId="266DBC30"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5C03B0A0" wp14:editId="149BE47C">
                  <wp:extent cx="1440000" cy="1440000"/>
                  <wp:effectExtent l="0" t="0" r="8255" b="8255"/>
                  <wp:docPr id="2040969904" name="Picture 2040969904" descr="D:\Nina D\Nina C\Nina\Sektor za farmaciju od marta 2009\Priprema za Inventar\Piktogrami\GHS01-Bomba koja eksplodi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ina D\Nina C\Nina\Sektor za farmaciju od marta 2009\Priprema za Inventar\Piktogrami\GHS01-Bomba koja eksplodi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AD93795" w14:textId="77777777" w:rsidR="00582B89" w:rsidRPr="00C10FF6" w:rsidRDefault="00582B89" w:rsidP="00186090">
            <w:pPr>
              <w:jc w:val="center"/>
              <w:rPr>
                <w:color w:val="0000FF"/>
                <w:sz w:val="20"/>
                <w:szCs w:val="20"/>
              </w:rPr>
            </w:pPr>
            <w:r w:rsidRPr="00C10FF6">
              <w:rPr>
                <w:color w:val="0000FF"/>
                <w:sz w:val="20"/>
                <w:szCs w:val="20"/>
              </w:rPr>
              <w:t>GHS01</w:t>
            </w:r>
          </w:p>
        </w:tc>
        <w:tc>
          <w:tcPr>
            <w:tcW w:w="3221" w:type="dxa"/>
            <w:tcBorders>
              <w:left w:val="single" w:sz="4" w:space="0" w:color="auto"/>
              <w:bottom w:val="single" w:sz="4" w:space="0" w:color="auto"/>
              <w:right w:val="single" w:sz="4" w:space="0" w:color="auto"/>
            </w:tcBorders>
            <w:vAlign w:val="center"/>
          </w:tcPr>
          <w:p w14:paraId="5A36272B"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3B993447" wp14:editId="7F77495A">
                  <wp:extent cx="1440000" cy="1440000"/>
                  <wp:effectExtent l="0" t="0" r="8255" b="8255"/>
                  <wp:docPr id="2053365975" name="Picture 2053365975" descr="D:\Nina D\Nina C\Nina\Sektor za farmaciju od marta 2009\Priprema za Inventar\Piktogrami\GHS02-Pla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ina D\Nina C\Nina\Sektor za farmaciju od marta 2009\Priprema za Inventar\Piktogrami\GHS02-Plam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6A8986DE" w14:textId="77777777" w:rsidR="00582B89" w:rsidRPr="00C10FF6" w:rsidRDefault="00582B89" w:rsidP="00186090">
            <w:pPr>
              <w:jc w:val="center"/>
              <w:rPr>
                <w:color w:val="0000FF"/>
                <w:sz w:val="20"/>
                <w:szCs w:val="20"/>
              </w:rPr>
            </w:pPr>
            <w:r w:rsidRPr="00C10FF6">
              <w:rPr>
                <w:color w:val="0000FF"/>
                <w:sz w:val="20"/>
                <w:szCs w:val="20"/>
              </w:rPr>
              <w:t>GHS02</w:t>
            </w:r>
          </w:p>
        </w:tc>
        <w:tc>
          <w:tcPr>
            <w:tcW w:w="3221" w:type="dxa"/>
            <w:tcBorders>
              <w:left w:val="single" w:sz="4" w:space="0" w:color="auto"/>
              <w:bottom w:val="single" w:sz="4" w:space="0" w:color="auto"/>
              <w:right w:val="single" w:sz="4" w:space="0" w:color="auto"/>
            </w:tcBorders>
            <w:vAlign w:val="center"/>
          </w:tcPr>
          <w:p w14:paraId="3907E238"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1E45FF6D" wp14:editId="7E64CAA4">
                  <wp:extent cx="1440000" cy="1440000"/>
                  <wp:effectExtent l="0" t="0" r="8255" b="8255"/>
                  <wp:docPr id="1757893197" name="Picture 1757893197" descr="D:\Nina D\Nina C\Nina\Sektor za farmaciju od marta 2009\Priprema za Inventar\Piktogrami\GHS03-Plamen preko kru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ina D\Nina C\Nina\Sektor za farmaciju od marta 2009\Priprema za Inventar\Piktogrami\GHS03-Plamen preko krug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7E7E4393" w14:textId="77777777" w:rsidR="00582B89" w:rsidRPr="00C10FF6" w:rsidRDefault="00582B89" w:rsidP="00186090">
            <w:pPr>
              <w:jc w:val="center"/>
              <w:rPr>
                <w:color w:val="0000FF"/>
                <w:sz w:val="20"/>
                <w:szCs w:val="20"/>
              </w:rPr>
            </w:pPr>
            <w:r w:rsidRPr="00C10FF6">
              <w:rPr>
                <w:color w:val="0000FF"/>
                <w:sz w:val="20"/>
                <w:szCs w:val="20"/>
              </w:rPr>
              <w:t>GHS03</w:t>
            </w:r>
          </w:p>
        </w:tc>
      </w:tr>
      <w:tr w:rsidR="00582B89" w:rsidRPr="00C10FF6" w14:paraId="5D7A8D72" w14:textId="77777777" w:rsidTr="00186090">
        <w:tc>
          <w:tcPr>
            <w:tcW w:w="3221" w:type="dxa"/>
            <w:tcBorders>
              <w:top w:val="single" w:sz="4" w:space="0" w:color="auto"/>
              <w:bottom w:val="single" w:sz="4" w:space="0" w:color="auto"/>
            </w:tcBorders>
            <w:vAlign w:val="center"/>
          </w:tcPr>
          <w:p w14:paraId="2E8FBCEC" w14:textId="77777777" w:rsidR="00582B89" w:rsidRPr="00C10FF6" w:rsidRDefault="00582B89" w:rsidP="00186090">
            <w:pPr>
              <w:jc w:val="center"/>
              <w:rPr>
                <w:noProof/>
                <w:color w:val="0000FF"/>
                <w:sz w:val="10"/>
                <w:szCs w:val="10"/>
              </w:rPr>
            </w:pPr>
          </w:p>
        </w:tc>
        <w:tc>
          <w:tcPr>
            <w:tcW w:w="3221" w:type="dxa"/>
            <w:tcBorders>
              <w:top w:val="single" w:sz="4" w:space="0" w:color="auto"/>
              <w:bottom w:val="single" w:sz="4" w:space="0" w:color="auto"/>
            </w:tcBorders>
            <w:vAlign w:val="center"/>
          </w:tcPr>
          <w:p w14:paraId="5B4F64A0" w14:textId="77777777" w:rsidR="00582B89" w:rsidRPr="00C10FF6" w:rsidRDefault="00582B89" w:rsidP="00186090">
            <w:pPr>
              <w:jc w:val="center"/>
              <w:rPr>
                <w:noProof/>
                <w:color w:val="0000FF"/>
                <w:sz w:val="10"/>
                <w:szCs w:val="10"/>
              </w:rPr>
            </w:pPr>
          </w:p>
        </w:tc>
        <w:tc>
          <w:tcPr>
            <w:tcW w:w="3221" w:type="dxa"/>
            <w:tcBorders>
              <w:top w:val="single" w:sz="4" w:space="0" w:color="auto"/>
              <w:bottom w:val="single" w:sz="4" w:space="0" w:color="auto"/>
            </w:tcBorders>
            <w:vAlign w:val="center"/>
          </w:tcPr>
          <w:p w14:paraId="0FD4457D" w14:textId="77777777" w:rsidR="00582B89" w:rsidRPr="00C10FF6" w:rsidRDefault="00582B89" w:rsidP="00186090">
            <w:pPr>
              <w:jc w:val="center"/>
              <w:rPr>
                <w:noProof/>
                <w:color w:val="0000FF"/>
                <w:sz w:val="10"/>
                <w:szCs w:val="10"/>
              </w:rPr>
            </w:pPr>
          </w:p>
        </w:tc>
      </w:tr>
      <w:tr w:rsidR="00582B89" w:rsidRPr="00C10FF6" w14:paraId="206351E3" w14:textId="77777777" w:rsidTr="00186090">
        <w:tc>
          <w:tcPr>
            <w:tcW w:w="3221" w:type="dxa"/>
            <w:tcBorders>
              <w:top w:val="single" w:sz="4" w:space="0" w:color="auto"/>
              <w:left w:val="single" w:sz="4" w:space="0" w:color="auto"/>
              <w:right w:val="single" w:sz="4" w:space="0" w:color="auto"/>
            </w:tcBorders>
            <w:vAlign w:val="center"/>
          </w:tcPr>
          <w:p w14:paraId="419141BB" w14:textId="77777777" w:rsidR="00582B89" w:rsidRPr="00C10FF6" w:rsidRDefault="00582B89" w:rsidP="00186090">
            <w:pPr>
              <w:jc w:val="center"/>
              <w:rPr>
                <w:color w:val="0000FF"/>
                <w:sz w:val="20"/>
                <w:szCs w:val="20"/>
              </w:rPr>
            </w:pPr>
            <w:r w:rsidRPr="00C10FF6">
              <w:rPr>
                <w:color w:val="0000FF"/>
                <w:sz w:val="20"/>
                <w:szCs w:val="20"/>
              </w:rPr>
              <w:t>Гасови под притисок</w:t>
            </w:r>
          </w:p>
        </w:tc>
        <w:tc>
          <w:tcPr>
            <w:tcW w:w="3221" w:type="dxa"/>
            <w:tcBorders>
              <w:top w:val="single" w:sz="4" w:space="0" w:color="auto"/>
              <w:left w:val="single" w:sz="4" w:space="0" w:color="auto"/>
              <w:right w:val="single" w:sz="4" w:space="0" w:color="auto"/>
            </w:tcBorders>
            <w:vAlign w:val="center"/>
          </w:tcPr>
          <w:p w14:paraId="7C936B50" w14:textId="77777777" w:rsidR="00582B89" w:rsidRPr="00C10FF6" w:rsidRDefault="00582B89" w:rsidP="00186090">
            <w:pPr>
              <w:jc w:val="center"/>
              <w:rPr>
                <w:color w:val="0000FF"/>
                <w:sz w:val="20"/>
                <w:szCs w:val="20"/>
              </w:rPr>
            </w:pPr>
            <w:r w:rsidRPr="00C10FF6">
              <w:rPr>
                <w:color w:val="0000FF"/>
                <w:sz w:val="20"/>
                <w:szCs w:val="20"/>
              </w:rPr>
              <w:t>Хемикалии корозивни за метали и хемикалии кои предизвикуваат корозивно оштетување на кожата</w:t>
            </w:r>
          </w:p>
        </w:tc>
        <w:tc>
          <w:tcPr>
            <w:tcW w:w="3221" w:type="dxa"/>
            <w:tcBorders>
              <w:top w:val="single" w:sz="4" w:space="0" w:color="auto"/>
              <w:left w:val="single" w:sz="4" w:space="0" w:color="auto"/>
              <w:right w:val="single" w:sz="4" w:space="0" w:color="auto"/>
            </w:tcBorders>
            <w:vAlign w:val="center"/>
          </w:tcPr>
          <w:p w14:paraId="3E88C7BC" w14:textId="77777777" w:rsidR="00582B89" w:rsidRPr="00C10FF6" w:rsidRDefault="00582B89" w:rsidP="00186090">
            <w:pPr>
              <w:jc w:val="center"/>
              <w:rPr>
                <w:color w:val="0000FF"/>
                <w:sz w:val="20"/>
                <w:szCs w:val="20"/>
              </w:rPr>
            </w:pPr>
            <w:r w:rsidRPr="00C10FF6">
              <w:rPr>
                <w:color w:val="0000FF"/>
                <w:sz w:val="20"/>
                <w:szCs w:val="20"/>
              </w:rPr>
              <w:t>Акутно токсични хемикалии</w:t>
            </w:r>
          </w:p>
        </w:tc>
      </w:tr>
      <w:tr w:rsidR="00582B89" w:rsidRPr="00C10FF6" w14:paraId="433C6382" w14:textId="77777777" w:rsidTr="00186090">
        <w:tc>
          <w:tcPr>
            <w:tcW w:w="3221" w:type="dxa"/>
            <w:tcBorders>
              <w:left w:val="single" w:sz="4" w:space="0" w:color="auto"/>
              <w:bottom w:val="single" w:sz="4" w:space="0" w:color="auto"/>
              <w:right w:val="single" w:sz="4" w:space="0" w:color="auto"/>
            </w:tcBorders>
            <w:vAlign w:val="center"/>
          </w:tcPr>
          <w:p w14:paraId="1D493C19"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7BBEF1CE" wp14:editId="674F7255">
                  <wp:extent cx="1440000" cy="1440000"/>
                  <wp:effectExtent l="0" t="0" r="8255" b="8255"/>
                  <wp:docPr id="4" name="Picture 4" descr="D:\Nina D\Nina C\Nina\Sektor za farmaciju od marta 2009\Priprema za Inventar\Piktogrami\GHS04-Cilindar za 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ina D\Nina C\Nina\Sektor za farmaciju od marta 2009\Priprema za Inventar\Piktogrami\GHS04-Cilindar za ga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1D933B43" w14:textId="77777777" w:rsidR="00582B89" w:rsidRPr="00C10FF6" w:rsidRDefault="00582B89" w:rsidP="00186090">
            <w:pPr>
              <w:jc w:val="center"/>
              <w:rPr>
                <w:color w:val="0000FF"/>
                <w:sz w:val="20"/>
                <w:szCs w:val="20"/>
              </w:rPr>
            </w:pPr>
            <w:r w:rsidRPr="00C10FF6">
              <w:rPr>
                <w:color w:val="0000FF"/>
                <w:sz w:val="20"/>
                <w:szCs w:val="20"/>
              </w:rPr>
              <w:t>GHS04</w:t>
            </w:r>
          </w:p>
        </w:tc>
        <w:tc>
          <w:tcPr>
            <w:tcW w:w="3221" w:type="dxa"/>
            <w:tcBorders>
              <w:left w:val="single" w:sz="4" w:space="0" w:color="auto"/>
              <w:bottom w:val="single" w:sz="4" w:space="0" w:color="auto"/>
              <w:right w:val="single" w:sz="4" w:space="0" w:color="auto"/>
            </w:tcBorders>
            <w:vAlign w:val="center"/>
          </w:tcPr>
          <w:p w14:paraId="34554B50"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6DE20284" wp14:editId="1287616A">
                  <wp:extent cx="1440000" cy="1440000"/>
                  <wp:effectExtent l="0" t="0" r="8255" b="8255"/>
                  <wp:docPr id="5" name="Picture 5" descr="D:\Nina D\Nina C\Nina\Sektor za farmaciju od marta 2009\Priprema za Inventar\Piktogrami\GHS05-Koroz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ina D\Nina C\Nina\Sektor za farmaciju od marta 2009\Priprema za Inventar\Piktogrami\GHS05-Korozij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47370AF6" w14:textId="77777777" w:rsidR="00582B89" w:rsidRPr="00C10FF6" w:rsidRDefault="00582B89" w:rsidP="00186090">
            <w:pPr>
              <w:jc w:val="center"/>
              <w:rPr>
                <w:color w:val="0000FF"/>
                <w:sz w:val="20"/>
                <w:szCs w:val="20"/>
              </w:rPr>
            </w:pPr>
            <w:r w:rsidRPr="00C10FF6">
              <w:rPr>
                <w:color w:val="0000FF"/>
                <w:sz w:val="20"/>
                <w:szCs w:val="20"/>
              </w:rPr>
              <w:t>GHS05</w:t>
            </w:r>
          </w:p>
        </w:tc>
        <w:tc>
          <w:tcPr>
            <w:tcW w:w="3221" w:type="dxa"/>
            <w:tcBorders>
              <w:left w:val="single" w:sz="4" w:space="0" w:color="auto"/>
              <w:bottom w:val="single" w:sz="4" w:space="0" w:color="auto"/>
              <w:right w:val="single" w:sz="4" w:space="0" w:color="auto"/>
            </w:tcBorders>
            <w:vAlign w:val="center"/>
          </w:tcPr>
          <w:p w14:paraId="25AC6379"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6EB0E2DE" wp14:editId="12FC43CE">
                  <wp:extent cx="1440000" cy="1440000"/>
                  <wp:effectExtent l="0" t="0" r="8255" b="8255"/>
                  <wp:docPr id="6" name="Picture 6" descr="D:\Nina D\Nina C\Nina\Sektor za farmaciju od marta 2009\Priprema za Inventar\Piktogrami\GHS06-Lobanja i ukrstene kos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ina D\Nina C\Nina\Sektor za farmaciju od marta 2009\Priprema za Inventar\Piktogrami\GHS06-Lobanja i ukrstene kost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6170E635" w14:textId="77777777" w:rsidR="00582B89" w:rsidRPr="00C10FF6" w:rsidRDefault="00582B89" w:rsidP="00186090">
            <w:pPr>
              <w:jc w:val="center"/>
              <w:rPr>
                <w:color w:val="0000FF"/>
                <w:sz w:val="20"/>
                <w:szCs w:val="20"/>
              </w:rPr>
            </w:pPr>
            <w:r w:rsidRPr="00C10FF6">
              <w:rPr>
                <w:color w:val="0000FF"/>
                <w:sz w:val="20"/>
                <w:szCs w:val="20"/>
              </w:rPr>
              <w:t>GHS06</w:t>
            </w:r>
          </w:p>
        </w:tc>
      </w:tr>
      <w:tr w:rsidR="00582B89" w:rsidRPr="00C10FF6" w14:paraId="54C6A3A8" w14:textId="77777777" w:rsidTr="00186090">
        <w:tc>
          <w:tcPr>
            <w:tcW w:w="3221" w:type="dxa"/>
            <w:tcBorders>
              <w:top w:val="single" w:sz="4" w:space="0" w:color="auto"/>
              <w:bottom w:val="single" w:sz="4" w:space="0" w:color="auto"/>
            </w:tcBorders>
            <w:vAlign w:val="center"/>
          </w:tcPr>
          <w:p w14:paraId="7EC24D69" w14:textId="77777777" w:rsidR="00186090" w:rsidRPr="00C10FF6" w:rsidRDefault="00186090" w:rsidP="00186090">
            <w:pPr>
              <w:jc w:val="center"/>
              <w:rPr>
                <w:color w:val="0000FF"/>
                <w:sz w:val="10"/>
                <w:szCs w:val="10"/>
              </w:rPr>
            </w:pPr>
          </w:p>
        </w:tc>
        <w:tc>
          <w:tcPr>
            <w:tcW w:w="3221" w:type="dxa"/>
            <w:tcBorders>
              <w:top w:val="single" w:sz="4" w:space="0" w:color="auto"/>
              <w:bottom w:val="single" w:sz="4" w:space="0" w:color="auto"/>
            </w:tcBorders>
            <w:vAlign w:val="center"/>
          </w:tcPr>
          <w:p w14:paraId="7F20B784" w14:textId="77777777" w:rsidR="00582B89" w:rsidRPr="00C10FF6" w:rsidRDefault="00582B89" w:rsidP="00186090">
            <w:pPr>
              <w:jc w:val="center"/>
              <w:rPr>
                <w:color w:val="0000FF"/>
                <w:sz w:val="10"/>
                <w:szCs w:val="10"/>
              </w:rPr>
            </w:pPr>
          </w:p>
        </w:tc>
        <w:tc>
          <w:tcPr>
            <w:tcW w:w="3221" w:type="dxa"/>
            <w:tcBorders>
              <w:top w:val="single" w:sz="4" w:space="0" w:color="auto"/>
              <w:bottom w:val="single" w:sz="4" w:space="0" w:color="auto"/>
            </w:tcBorders>
            <w:vAlign w:val="center"/>
          </w:tcPr>
          <w:p w14:paraId="252D4541" w14:textId="77777777" w:rsidR="00582B89" w:rsidRPr="00C10FF6" w:rsidRDefault="00582B89" w:rsidP="00186090">
            <w:pPr>
              <w:jc w:val="center"/>
              <w:rPr>
                <w:color w:val="0000FF"/>
                <w:sz w:val="10"/>
                <w:szCs w:val="10"/>
              </w:rPr>
            </w:pPr>
          </w:p>
        </w:tc>
      </w:tr>
      <w:tr w:rsidR="00582B89" w:rsidRPr="00C10FF6" w14:paraId="4494A9C9" w14:textId="77777777" w:rsidTr="00186090">
        <w:tc>
          <w:tcPr>
            <w:tcW w:w="3221" w:type="dxa"/>
            <w:tcBorders>
              <w:top w:val="single" w:sz="4" w:space="0" w:color="auto"/>
              <w:left w:val="single" w:sz="4" w:space="0" w:color="auto"/>
              <w:right w:val="single" w:sz="4" w:space="0" w:color="auto"/>
            </w:tcBorders>
            <w:vAlign w:val="center"/>
          </w:tcPr>
          <w:p w14:paraId="63814416" w14:textId="77777777" w:rsidR="00582B89" w:rsidRPr="00C10FF6" w:rsidRDefault="00582B89" w:rsidP="00186090">
            <w:pPr>
              <w:jc w:val="center"/>
              <w:rPr>
                <w:color w:val="0000FF"/>
                <w:sz w:val="20"/>
                <w:szCs w:val="20"/>
              </w:rPr>
            </w:pPr>
            <w:r w:rsidRPr="00C10FF6">
              <w:rPr>
                <w:color w:val="0000FF"/>
                <w:sz w:val="20"/>
                <w:szCs w:val="20"/>
              </w:rPr>
              <w:t>Иританти, штетни хемикалии и хемикалии кои можат да предизвикаат алергиски реакции на кожата/хемикалии кои можат да ја оштетат озонската обвивка</w:t>
            </w:r>
          </w:p>
        </w:tc>
        <w:tc>
          <w:tcPr>
            <w:tcW w:w="3221" w:type="dxa"/>
            <w:tcBorders>
              <w:top w:val="single" w:sz="4" w:space="0" w:color="auto"/>
              <w:left w:val="single" w:sz="4" w:space="0" w:color="auto"/>
              <w:right w:val="single" w:sz="4" w:space="0" w:color="auto"/>
            </w:tcBorders>
            <w:vAlign w:val="center"/>
          </w:tcPr>
          <w:p w14:paraId="711DFAF2" w14:textId="22739A62" w:rsidR="00582B89" w:rsidRPr="00C10FF6" w:rsidRDefault="00582B89" w:rsidP="00186090">
            <w:pPr>
              <w:jc w:val="center"/>
              <w:rPr>
                <w:color w:val="0000FF"/>
                <w:sz w:val="20"/>
                <w:szCs w:val="20"/>
              </w:rPr>
            </w:pPr>
            <w:r w:rsidRPr="00C10FF6">
              <w:rPr>
                <w:color w:val="0000FF"/>
                <w:sz w:val="20"/>
                <w:szCs w:val="20"/>
              </w:rPr>
              <w:t xml:space="preserve">Хемикалии кои можат да предизвикаат оштетување на одредени органи/алергиски реакции на респираторниот систем/канцерогени, мутагени и </w:t>
            </w:r>
            <w:r w:rsidR="00C10FF6" w:rsidRPr="00C10FF6">
              <w:rPr>
                <w:color w:val="0000FF"/>
                <w:sz w:val="20"/>
                <w:szCs w:val="20"/>
              </w:rPr>
              <w:t>репротоксични хемикалии</w:t>
            </w:r>
          </w:p>
        </w:tc>
        <w:tc>
          <w:tcPr>
            <w:tcW w:w="3221" w:type="dxa"/>
            <w:tcBorders>
              <w:top w:val="single" w:sz="4" w:space="0" w:color="auto"/>
              <w:left w:val="single" w:sz="4" w:space="0" w:color="auto"/>
              <w:right w:val="single" w:sz="4" w:space="0" w:color="auto"/>
            </w:tcBorders>
            <w:vAlign w:val="center"/>
          </w:tcPr>
          <w:p w14:paraId="263118E4" w14:textId="77777777" w:rsidR="00582B89" w:rsidRPr="00C10FF6" w:rsidRDefault="00582B89" w:rsidP="00186090">
            <w:pPr>
              <w:jc w:val="center"/>
              <w:rPr>
                <w:color w:val="0000FF"/>
                <w:sz w:val="20"/>
                <w:szCs w:val="20"/>
              </w:rPr>
            </w:pPr>
            <w:r w:rsidRPr="00C10FF6">
              <w:rPr>
                <w:color w:val="0000FF"/>
                <w:sz w:val="20"/>
                <w:szCs w:val="20"/>
              </w:rPr>
              <w:t>Хемикалии опасни за животната средина</w:t>
            </w:r>
          </w:p>
        </w:tc>
      </w:tr>
      <w:tr w:rsidR="00582B89" w14:paraId="356E33E3" w14:textId="77777777" w:rsidTr="00186090">
        <w:tc>
          <w:tcPr>
            <w:tcW w:w="3221" w:type="dxa"/>
            <w:tcBorders>
              <w:left w:val="single" w:sz="4" w:space="0" w:color="auto"/>
              <w:bottom w:val="single" w:sz="4" w:space="0" w:color="auto"/>
              <w:right w:val="single" w:sz="4" w:space="0" w:color="auto"/>
            </w:tcBorders>
            <w:vAlign w:val="center"/>
          </w:tcPr>
          <w:p w14:paraId="16425E63"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72C1F1B3" wp14:editId="15626541">
                  <wp:extent cx="1440000" cy="1440000"/>
                  <wp:effectExtent l="0" t="0" r="8255" b="8255"/>
                  <wp:docPr id="7" name="Picture 7" descr="D:\Nina D\Nina C\Nina\Sektor za farmaciju od marta 2009\Priprema za Inventar\Piktogrami\GHS07-Znak uzv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ina D\Nina C\Nina\Sektor za farmaciju od marta 2009\Priprema za Inventar\Piktogrami\GHS07-Znak uzvik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0B2BB1B1" w14:textId="77777777" w:rsidR="00582B89" w:rsidRPr="00C10FF6" w:rsidRDefault="00582B89" w:rsidP="00186090">
            <w:pPr>
              <w:jc w:val="center"/>
              <w:rPr>
                <w:color w:val="0000FF"/>
                <w:sz w:val="20"/>
                <w:szCs w:val="20"/>
              </w:rPr>
            </w:pPr>
            <w:r w:rsidRPr="00C10FF6">
              <w:rPr>
                <w:color w:val="0000FF"/>
                <w:sz w:val="20"/>
                <w:szCs w:val="20"/>
              </w:rPr>
              <w:t>GHS07</w:t>
            </w:r>
          </w:p>
        </w:tc>
        <w:tc>
          <w:tcPr>
            <w:tcW w:w="3221" w:type="dxa"/>
            <w:tcBorders>
              <w:left w:val="single" w:sz="4" w:space="0" w:color="auto"/>
              <w:bottom w:val="single" w:sz="4" w:space="0" w:color="auto"/>
              <w:right w:val="single" w:sz="4" w:space="0" w:color="auto"/>
            </w:tcBorders>
            <w:vAlign w:val="center"/>
          </w:tcPr>
          <w:p w14:paraId="264C8FD8"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7AD32096" wp14:editId="1096209E">
                  <wp:extent cx="1440000" cy="1440000"/>
                  <wp:effectExtent l="0" t="0" r="8255" b="8255"/>
                  <wp:docPr id="8" name="Picture 8" descr="D:\Nina D\Nina C\Nina\Sektor za farmaciju od marta 2009\Priprema za Inventar\Piktogrami\GHS08-Opasnost po zdravl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Nina D\Nina C\Nina\Sektor za farmaciju od marta 2009\Priprema za Inventar\Piktogrami\GHS08-Opasnost po zdravlj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62372251" w14:textId="77777777" w:rsidR="00582B89" w:rsidRPr="00C10FF6" w:rsidRDefault="00582B89" w:rsidP="00186090">
            <w:pPr>
              <w:jc w:val="center"/>
              <w:rPr>
                <w:color w:val="0000FF"/>
                <w:sz w:val="20"/>
                <w:szCs w:val="20"/>
              </w:rPr>
            </w:pPr>
            <w:r w:rsidRPr="00C10FF6">
              <w:rPr>
                <w:color w:val="0000FF"/>
                <w:sz w:val="20"/>
                <w:szCs w:val="20"/>
              </w:rPr>
              <w:t>GHS08</w:t>
            </w:r>
          </w:p>
        </w:tc>
        <w:tc>
          <w:tcPr>
            <w:tcW w:w="3221" w:type="dxa"/>
            <w:tcBorders>
              <w:left w:val="single" w:sz="4" w:space="0" w:color="auto"/>
              <w:bottom w:val="single" w:sz="4" w:space="0" w:color="auto"/>
              <w:right w:val="single" w:sz="4" w:space="0" w:color="auto"/>
            </w:tcBorders>
            <w:vAlign w:val="center"/>
          </w:tcPr>
          <w:p w14:paraId="782C56E3" w14:textId="77777777" w:rsidR="00582B89" w:rsidRPr="00C10FF6" w:rsidRDefault="00582B89" w:rsidP="00186090">
            <w:pPr>
              <w:jc w:val="center"/>
              <w:rPr>
                <w:color w:val="0000FF"/>
                <w:sz w:val="20"/>
                <w:szCs w:val="20"/>
                <w:lang w:val="sr-Cyrl-BA"/>
              </w:rPr>
            </w:pPr>
            <w:r w:rsidRPr="00C10FF6">
              <w:rPr>
                <w:noProof/>
                <w:color w:val="0000FF"/>
                <w:sz w:val="20"/>
                <w:szCs w:val="20"/>
                <w:lang w:val="sr-Latn-RS" w:eastAsia="sr-Latn-RS"/>
              </w:rPr>
              <w:drawing>
                <wp:inline distT="0" distB="0" distL="0" distR="0" wp14:anchorId="6A6E0644" wp14:editId="19F359BD">
                  <wp:extent cx="1440000" cy="1440000"/>
                  <wp:effectExtent l="0" t="0" r="8255" b="8255"/>
                  <wp:docPr id="10" name="Picture 10" descr="D:\Nina D\Nina C\Nina\Sektor za farmaciju od marta 2009\Priprema za Inventar\Piktogrami\GHS09-Zivotna sre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Nina D\Nina C\Nina\Sektor za farmaciju od marta 2009\Priprema za Inventar\Piktogrami\GHS09-Zivotna sredin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80E3E05" w14:textId="77777777" w:rsidR="00582B89" w:rsidRPr="00C10FF6" w:rsidRDefault="00582B89" w:rsidP="00186090">
            <w:pPr>
              <w:jc w:val="center"/>
              <w:rPr>
                <w:color w:val="0000FF"/>
                <w:sz w:val="20"/>
                <w:szCs w:val="20"/>
              </w:rPr>
            </w:pPr>
            <w:r w:rsidRPr="00C10FF6">
              <w:rPr>
                <w:color w:val="0000FF"/>
                <w:sz w:val="20"/>
                <w:szCs w:val="20"/>
              </w:rPr>
              <w:t>GHS09</w:t>
            </w:r>
          </w:p>
        </w:tc>
      </w:tr>
    </w:tbl>
    <w:p w14:paraId="5FC95EC9" w14:textId="4BE61DA6" w:rsidR="00582B89" w:rsidRPr="00F92887" w:rsidRDefault="00186090" w:rsidP="00582B89">
      <w:pPr>
        <w:jc w:val="both"/>
        <w:rPr>
          <w:color w:val="0000FF"/>
        </w:rPr>
      </w:pPr>
      <w:r w:rsidRPr="00F92887">
        <w:rPr>
          <w:color w:val="0000FF"/>
        </w:rPr>
        <w:t xml:space="preserve">Елементите на етикетата, како што се пиктограм, текст што укажува на опасните својства на хемикалијата и текст што укажува на соодветни мерки на претпазливост мора </w:t>
      </w:r>
      <w:r w:rsidR="00C10FF6" w:rsidRPr="00F92887">
        <w:rPr>
          <w:color w:val="0000FF"/>
        </w:rPr>
        <w:t xml:space="preserve">да бидат прикажани на етикетата (пакувањето). Покрај овие елементи на етикетата, на етикетата се наведени и името, адресата и телефонскиот број на добавувачот, како и името и идентификацискиот број на хемикалијата. Пиктограмите за опасност се највидливиот дел од етикетата. Овие пиктограми се однесуваат на опасни хемикалии кои имаат влијание врз здравјето на луѓето и животната средина. Од перспектива на </w:t>
      </w:r>
      <w:r w:rsidR="0014142F">
        <w:rPr>
          <w:color w:val="0000FF"/>
        </w:rPr>
        <w:t>озеленување</w:t>
      </w:r>
      <w:r w:rsidR="00C10FF6" w:rsidRPr="00F92887">
        <w:rPr>
          <w:color w:val="0000FF"/>
        </w:rPr>
        <w:t xml:space="preserve"> на бизнисот на малите и средните претпријатија, од клучно значење е да се разгледаат можностите за замена на хемикалиите кои имаат пиктограми за опасност на нивните етикети со хемикалии кои се помалку токсични или воопшто не се опасни по здравјето на луѓето и животната средина. Најдобар пример е употребата на средства за чистење во форма на детергенти. Употребата на природни средства за чистење може да избегне купување детергенти. Особено, оцет или лимонска киселина може да се користат за отстранување на наслаги од бигор. Мешавина од црн чај и сок од лимон е идеална за чистење на прозорци. Едноставно треба да оставите неколку кесички чај да отстојат до 10 минути и да ги измешате со исцеден лимон и 10 литри топла вода. Не само што стаклата на прозорците може да се чистат без средства за чистење, туку оваа смеса го спречува создавањето на нечистотија и обезбедува долготрајно сјај. Компирите се идеални за чистење на нерѓосувачки челик; само тријте го челикот со компири и компирниот скроб ќе го направи останатото. Меѓутоа, ако сè уште треба да купите средства за чистење, треба да обрнете внимание на тоа дали производот има пиктограм за опасност и, ако е можно, да побарате сличен производ (со иста парична вредност) што има еколошка ознака како што е Еколошката </w:t>
      </w:r>
      <w:r w:rsidR="0015215F" w:rsidRPr="00F92887">
        <w:rPr>
          <w:color w:val="0000FF"/>
        </w:rPr>
        <w:t>ознака на ЕУ.</w:t>
      </w:r>
    </w:p>
    <w:p w14:paraId="162EC559" w14:textId="77777777" w:rsidR="00B3454C" w:rsidRDefault="00B3454C" w:rsidP="00582B89">
      <w:pPr>
        <w:jc w:val="both"/>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289"/>
        <w:gridCol w:w="3187"/>
      </w:tblGrid>
      <w:tr w:rsidR="00B3454C" w14:paraId="54E6C5DB" w14:textId="77777777" w:rsidTr="0001604F">
        <w:tc>
          <w:tcPr>
            <w:tcW w:w="3217" w:type="dxa"/>
            <w:vAlign w:val="center"/>
          </w:tcPr>
          <w:p w14:paraId="76727C8D" w14:textId="0D9E1446" w:rsidR="00B3454C" w:rsidRDefault="00B3454C" w:rsidP="00B3454C">
            <w:pPr>
              <w:jc w:val="center"/>
              <w:rPr>
                <w:color w:val="FF0000"/>
              </w:rPr>
            </w:pPr>
            <w:r w:rsidRPr="00C10FF6">
              <w:rPr>
                <w:noProof/>
                <w:color w:val="0000FF"/>
                <w:sz w:val="20"/>
                <w:szCs w:val="20"/>
                <w:lang w:val="sr-Latn-RS" w:eastAsia="sr-Latn-RS"/>
              </w:rPr>
              <w:drawing>
                <wp:inline distT="0" distB="0" distL="0" distR="0" wp14:anchorId="047C6D0B" wp14:editId="6CDC0DE2">
                  <wp:extent cx="1440000" cy="1440000"/>
                  <wp:effectExtent l="0" t="0" r="8255" b="8255"/>
                  <wp:docPr id="602655535" name="Picture 602655535" descr="D:\Nina D\Nina C\Nina\Sektor za farmaciju od marta 2009\Priprema za Inventar\Piktogrami\GHS07-Znak uzv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ina D\Nina C\Nina\Sektor za farmaciju od marta 2009\Priprema za Inventar\Piktogrami\GHS07-Znak uzvik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3218" w:type="dxa"/>
            <w:vAlign w:val="center"/>
          </w:tcPr>
          <w:p w14:paraId="75505FD3" w14:textId="77777777" w:rsidR="00F92887" w:rsidRDefault="00F92887" w:rsidP="00F92887">
            <w:pPr>
              <w:rPr>
                <w:color w:val="FF0000"/>
                <w:sz w:val="48"/>
                <w:szCs w:val="48"/>
              </w:rPr>
            </w:pPr>
            <w:r w:rsidRPr="00F92887">
              <w:rPr>
                <w:color w:val="FF0000"/>
                <w:sz w:val="48"/>
                <w:szCs w:val="48"/>
              </w:rPr>
              <w:sym w:font="Wingdings 3" w:char="F091"/>
            </w:r>
            <w:r w:rsidRPr="00F92887">
              <w:rPr>
                <w:color w:val="FF0000"/>
                <w:sz w:val="48"/>
                <w:szCs w:val="48"/>
              </w:rPr>
              <w:t>Избегнувајте</w:t>
            </w:r>
          </w:p>
          <w:p w14:paraId="21212C61" w14:textId="277908FB" w:rsidR="00B3454C" w:rsidRPr="00F92887" w:rsidRDefault="00F92887" w:rsidP="00F92887">
            <w:pPr>
              <w:jc w:val="right"/>
              <w:rPr>
                <w:color w:val="008000"/>
              </w:rPr>
            </w:pPr>
            <w:r w:rsidRPr="00F92887">
              <w:rPr>
                <w:color w:val="008000"/>
                <w:sz w:val="48"/>
                <w:szCs w:val="48"/>
              </w:rPr>
              <w:t>Добијте</w:t>
            </w:r>
            <w:r w:rsidR="00AE2DA0" w:rsidRPr="00F92887">
              <w:rPr>
                <w:color w:val="008000"/>
                <w:sz w:val="48"/>
                <w:szCs w:val="48"/>
              </w:rPr>
              <w:sym w:font="Wingdings 3" w:char="F092"/>
            </w:r>
          </w:p>
        </w:tc>
        <w:tc>
          <w:tcPr>
            <w:tcW w:w="3218" w:type="dxa"/>
            <w:vAlign w:val="center"/>
          </w:tcPr>
          <w:p w14:paraId="10B04228" w14:textId="116A32F2" w:rsidR="00B3454C" w:rsidRDefault="00B3454C" w:rsidP="00B3454C">
            <w:pPr>
              <w:jc w:val="center"/>
              <w:rPr>
                <w:color w:val="FF0000"/>
              </w:rPr>
            </w:pPr>
            <w:r>
              <w:rPr>
                <w:noProof/>
                <w:lang w:val="sr-Latn-RS" w:eastAsia="sr-Latn-RS"/>
              </w:rPr>
              <w:drawing>
                <wp:inline distT="0" distB="0" distL="0" distR="0" wp14:anchorId="32313792" wp14:editId="3CC8BE6B">
                  <wp:extent cx="1440000" cy="1440000"/>
                  <wp:effectExtent l="0" t="0" r="8255" b="8255"/>
                  <wp:docPr id="1654060786" name="Picture 7" descr="A logo with a star and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60786" name="Picture 7" descr="A logo with a star and leaf&#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bl>
    <w:p w14:paraId="4048B00A" w14:textId="77777777" w:rsidR="00B3454C" w:rsidRDefault="00B3454C" w:rsidP="00582B89">
      <w:pPr>
        <w:jc w:val="both"/>
        <w:rPr>
          <w:color w:val="FF0000"/>
        </w:rPr>
      </w:pPr>
    </w:p>
    <w:p w14:paraId="39A1537B" w14:textId="038240DE" w:rsidR="00124B75" w:rsidRPr="00F92887" w:rsidRDefault="00914007" w:rsidP="00124B75">
      <w:pPr>
        <w:jc w:val="both"/>
        <w:rPr>
          <w:color w:val="0000FF"/>
        </w:rPr>
      </w:pPr>
      <w:bookmarkStart w:id="1" w:name="_Hlk189826496"/>
      <w:r w:rsidRPr="00F92887">
        <w:rPr>
          <w:color w:val="0000FF"/>
        </w:rPr>
        <w:t xml:space="preserve">Еко-етикетата поттикнува имплементација на кружна економија бидејќи фокусот на еколошката ознака е на намалување на негативните влијанија врз животната средина, продолжување на животниот век на производите преку соодветен еко-дизајн на производите, лесна поправка и сервисирање, а истовремено земајќи го предвид намалувањето или елиминирањето на одредени опасни материи кои влегуваат во составот на производот. </w:t>
      </w:r>
      <w:r w:rsidRPr="00F92887">
        <w:rPr>
          <w:color w:val="0000FF"/>
          <w:lang w:val="en-US"/>
        </w:rPr>
        <w:t xml:space="preserve">Еколабелата </w:t>
      </w:r>
      <w:r w:rsidR="00B70A61" w:rsidRPr="00F92887">
        <w:rPr>
          <w:color w:val="0000FF"/>
        </w:rPr>
        <w:t xml:space="preserve">на ЕУ е официјална доброволна ознака на Европската унија за еколошка извонредност и често се нарекува </w:t>
      </w:r>
      <w:r w:rsidRPr="00F92887">
        <w:rPr>
          <w:rFonts w:cs="Calibri"/>
          <w:color w:val="0000FF"/>
        </w:rPr>
        <w:t xml:space="preserve">„ </w:t>
      </w:r>
      <w:r w:rsidRPr="00F92887">
        <w:rPr>
          <w:color w:val="0000FF"/>
        </w:rPr>
        <w:t xml:space="preserve">Цвет на ЕУ“ поради неговиот визуелен </w:t>
      </w:r>
      <w:r w:rsidRPr="00F92887">
        <w:rPr>
          <w:color w:val="0000FF"/>
          <w:lang w:val="en-US"/>
        </w:rPr>
        <w:t xml:space="preserve">идентитет </w:t>
      </w:r>
      <w:r w:rsidRPr="00F92887">
        <w:rPr>
          <w:rFonts w:cs="Calibri"/>
          <w:color w:val="0000FF"/>
        </w:rPr>
        <w:t xml:space="preserve">. Оваа ознака е светски позната и е доброволна шема која промовира стоки и услуги кои </w:t>
      </w:r>
      <w:r w:rsidRPr="00F92887">
        <w:rPr>
          <w:color w:val="0000FF"/>
        </w:rPr>
        <w:t xml:space="preserve">јасно ја покажуваат еколошката извонредност, врз основа на стандардизирани процеси и научни докази. Иако е доброволно, постојат јасни правила, прописи и процедури кои производот мора да ги исполнува за да ја добие оваа ознака. Досега се регистрирани 98.977 производи (стоки и услуги) кои имаат ознака на ЕУ. Списокот на овие производи е достапен на е- </w:t>
      </w:r>
      <w:r w:rsidR="00B70A61" w:rsidRPr="00F92887">
        <w:rPr>
          <w:color w:val="0000FF"/>
        </w:rPr>
        <w:t xml:space="preserve">каталогот за еколошко ознака на ЕУ. </w:t>
      </w:r>
      <w:r w:rsidR="00124B75" w:rsidRPr="00F92887">
        <w:rPr>
          <w:color w:val="0000FF"/>
        </w:rPr>
        <w:t>Линкот за пристап е на следната адреса:</w:t>
      </w:r>
    </w:p>
    <w:bookmarkEnd w:id="1"/>
    <w:p w14:paraId="513C395C" w14:textId="77777777" w:rsidR="00DC234E" w:rsidRDefault="00DC234E" w:rsidP="00124B75">
      <w:pPr>
        <w:rPr>
          <w:rStyle w:val="Hyperlink"/>
        </w:rPr>
      </w:pPr>
    </w:p>
    <w:p w14:paraId="2B105493" w14:textId="199FCC14" w:rsidR="00124B75" w:rsidRDefault="00124B75" w:rsidP="00124B75">
      <w:pPr>
        <w:rPr>
          <w:color w:val="0000FF"/>
        </w:rPr>
      </w:pPr>
      <w:hyperlink r:id="rId18" w:history="1">
        <w:r w:rsidRPr="00074D72">
          <w:rPr>
            <w:rStyle w:val="Hyperlink"/>
          </w:rPr>
          <w:t>https://environment.ec.europa.eu/app/ecolabel-product-catalogue</w:t>
        </w:r>
      </w:hyperlink>
    </w:p>
    <w:p w14:paraId="0AFB5D54" w14:textId="77777777" w:rsidR="00124B75" w:rsidRDefault="00124B75" w:rsidP="00124B75">
      <w:pPr>
        <w:rPr>
          <w:color w:val="0000FF"/>
        </w:rPr>
      </w:pPr>
    </w:p>
    <w:p w14:paraId="0FB7B101" w14:textId="77777777" w:rsidR="00852DF8" w:rsidRDefault="00852DF8" w:rsidP="00124B75">
      <w:pPr>
        <w:rPr>
          <w:color w:val="0000FF"/>
        </w:rPr>
      </w:pPr>
    </w:p>
    <w:p w14:paraId="2DCED589" w14:textId="77777777" w:rsidR="00753E16" w:rsidRDefault="00753E16" w:rsidP="00124B75">
      <w:pPr>
        <w:jc w:val="both"/>
        <w:rPr>
          <w:color w:val="0000FF"/>
        </w:rPr>
      </w:pPr>
    </w:p>
    <w:p w14:paraId="40E84E4A" w14:textId="695A4B3D" w:rsidR="00124B75" w:rsidRPr="00852DF8" w:rsidRDefault="0001604F" w:rsidP="00124B75">
      <w:pPr>
        <w:jc w:val="both"/>
        <w:rPr>
          <w:color w:val="0000FF"/>
        </w:rPr>
      </w:pPr>
      <w:r w:rsidRPr="00852DF8">
        <w:rPr>
          <w:color w:val="0000FF"/>
        </w:rPr>
        <w:t>Извори:</w:t>
      </w:r>
    </w:p>
    <w:p w14:paraId="0628C819" w14:textId="77777777" w:rsidR="0001604F" w:rsidRPr="00852DF8" w:rsidRDefault="0001604F" w:rsidP="00124B75">
      <w:pPr>
        <w:jc w:val="both"/>
        <w:rPr>
          <w:color w:val="0000FF"/>
        </w:rPr>
      </w:pPr>
    </w:p>
    <w:p w14:paraId="12404279" w14:textId="77777777" w:rsidR="005C236F" w:rsidRPr="00852DF8" w:rsidRDefault="005C236F" w:rsidP="005C236F">
      <w:pPr>
        <w:jc w:val="both"/>
        <w:rPr>
          <w:color w:val="0000FF"/>
        </w:rPr>
      </w:pPr>
      <w:r w:rsidRPr="00852DF8">
        <w:rPr>
          <w:color w:val="0000FF"/>
        </w:rPr>
        <w:t>Министерство за заштита на животната средина</w:t>
      </w:r>
    </w:p>
    <w:p w14:paraId="4642DA13" w14:textId="77777777" w:rsidR="005C236F" w:rsidRPr="00852DF8" w:rsidRDefault="005C236F" w:rsidP="005C236F">
      <w:pPr>
        <w:jc w:val="both"/>
        <w:rPr>
          <w:color w:val="0000FF"/>
        </w:rPr>
      </w:pPr>
      <w:r w:rsidRPr="00852DF8">
        <w:rPr>
          <w:color w:val="0000FF"/>
        </w:rPr>
        <w:t>https://www.ekologija.gov.rs/organizacija/sektori/sektor-za-upravlenje-zivotnom-sredin/informativni-pult-za-hemikalije-i-biocidne-proizvode/klasifikacija-pakovanje-obelezavanje-oglasavanje-hemikalia</w:t>
      </w:r>
    </w:p>
    <w:p w14:paraId="0DB4D4A3" w14:textId="77777777" w:rsidR="005C236F" w:rsidRPr="00852DF8" w:rsidRDefault="005C236F" w:rsidP="005C236F">
      <w:pPr>
        <w:jc w:val="both"/>
        <w:rPr>
          <w:color w:val="0000FF"/>
        </w:rPr>
      </w:pPr>
    </w:p>
    <w:p w14:paraId="5C687964" w14:textId="10CD6374" w:rsidR="0001604F" w:rsidRPr="00852DF8" w:rsidRDefault="005C236F" w:rsidP="00F92887">
      <w:pPr>
        <w:jc w:val="both"/>
        <w:rPr>
          <w:color w:val="0000FF"/>
        </w:rPr>
      </w:pPr>
      <w:r w:rsidRPr="00852DF8">
        <w:rPr>
          <w:color w:val="0000FF"/>
        </w:rPr>
        <w:t>Регулатива за класификација, пакување, етикетирање и рекламирање на хемикалии и одредени производи во согласност со Глобално хармонизираниот систем за класификација и означување на ОН („Службен весник на Република Србија“, бр. 105 од 29 ноември 2013 година, 52 од 26 мај 2017 година, 21 од 212 27 март 2017 година.</w:t>
      </w:r>
    </w:p>
    <w:p w14:paraId="4F1E093E" w14:textId="77777777" w:rsidR="00852DF8" w:rsidRPr="00852DF8" w:rsidRDefault="00852DF8" w:rsidP="00852DF8">
      <w:pPr>
        <w:rPr>
          <w:color w:val="0000FF"/>
        </w:rPr>
      </w:pPr>
    </w:p>
    <w:p w14:paraId="78C27067" w14:textId="237809D6" w:rsidR="00852DF8" w:rsidRPr="00852DF8" w:rsidRDefault="00852DF8" w:rsidP="00852DF8">
      <w:pPr>
        <w:rPr>
          <w:color w:val="0000FF"/>
        </w:rPr>
      </w:pPr>
      <w:r w:rsidRPr="00852DF8">
        <w:rPr>
          <w:color w:val="0000FF"/>
        </w:rPr>
        <w:t>Еколошка ознака на ЕУ</w:t>
      </w:r>
    </w:p>
    <w:p w14:paraId="565F0E16" w14:textId="77777777" w:rsidR="00852DF8" w:rsidRPr="00852DF8" w:rsidRDefault="00852DF8" w:rsidP="00852DF8">
      <w:pPr>
        <w:rPr>
          <w:color w:val="0000FF"/>
        </w:rPr>
      </w:pPr>
      <w:hyperlink r:id="rId19" w:history="1">
        <w:r w:rsidRPr="00852DF8">
          <w:rPr>
            <w:rStyle w:val="Hyperlink"/>
            <w:color w:val="0000FF"/>
          </w:rPr>
          <w:t>https://environment.ec.europa.eu/topics/circular-economy/eu-ecolabel_en</w:t>
        </w:r>
      </w:hyperlink>
    </w:p>
    <w:p w14:paraId="17AC46C6" w14:textId="77777777" w:rsidR="00852DF8" w:rsidRPr="00852DF8" w:rsidRDefault="00852DF8" w:rsidP="00852DF8">
      <w:pPr>
        <w:rPr>
          <w:color w:val="0000FF"/>
        </w:rPr>
      </w:pPr>
    </w:p>
    <w:p w14:paraId="4723D92B" w14:textId="0F682D42" w:rsidR="00852DF8" w:rsidRPr="00852DF8" w:rsidRDefault="00852DF8" w:rsidP="00852DF8">
      <w:pPr>
        <w:rPr>
          <w:color w:val="0000FF"/>
        </w:rPr>
      </w:pPr>
      <w:r>
        <w:rPr>
          <w:color w:val="0000FF"/>
        </w:rPr>
        <w:t>Фер игра: Како да се исчисти на најеколошки можен начин</w:t>
      </w:r>
    </w:p>
    <w:p w14:paraId="454F2C26" w14:textId="3E07BB53" w:rsidR="00852DF8" w:rsidRDefault="00852DF8" w:rsidP="00852DF8">
      <w:pPr>
        <w:rPr>
          <w:color w:val="0000FF"/>
        </w:rPr>
      </w:pPr>
      <w:hyperlink r:id="rId20" w:history="1">
        <w:r w:rsidRPr="00074D72">
          <w:rPr>
            <w:rStyle w:val="Hyperlink"/>
          </w:rPr>
          <w:t>https://www.dm.rs/inspiracija-i-saveti/</w:t>
        </w:r>
      </w:hyperlink>
    </w:p>
    <w:p w14:paraId="402A8A44" w14:textId="77777777" w:rsidR="00852DF8" w:rsidRPr="00852DF8" w:rsidRDefault="00852DF8" w:rsidP="00852DF8">
      <w:pPr>
        <w:rPr>
          <w:color w:val="0000FF"/>
        </w:rPr>
      </w:pPr>
    </w:p>
    <w:p w14:paraId="0D067A74" w14:textId="77777777" w:rsidR="0001604F" w:rsidRDefault="0001604F" w:rsidP="0001604F">
      <w:pPr>
        <w:jc w:val="both"/>
        <w:rPr>
          <w:color w:val="FF0000"/>
        </w:rPr>
      </w:pPr>
    </w:p>
    <w:sectPr w:rsidR="0001604F" w:rsidSect="00727819">
      <w:headerReference w:type="even" r:id="rId21"/>
      <w:headerReference w:type="default" r:id="rId22"/>
      <w:footerReference w:type="even" r:id="rId23"/>
      <w:footerReference w:type="default" r:id="rId24"/>
      <w:headerReference w:type="first" r:id="rId25"/>
      <w:footerReference w:type="first" r:id="rId26"/>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5191" w14:textId="77777777" w:rsidR="007F7752" w:rsidRDefault="007F7752" w:rsidP="008B7759">
      <w:r>
        <w:separator/>
      </w:r>
    </w:p>
  </w:endnote>
  <w:endnote w:type="continuationSeparator" w:id="0">
    <w:p w14:paraId="6C9271F8" w14:textId="77777777" w:rsidR="007F7752" w:rsidRDefault="007F7752"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A2C6" w14:textId="77777777" w:rsidR="004E1AE9" w:rsidRDefault="004E1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4754BA">
          <w:rPr>
            <w:noProof/>
          </w:rPr>
          <w:t>2</w:t>
        </w:r>
        <w:r>
          <w:rPr>
            <w:noProof/>
          </w:rPr>
          <w:fldChar w:fldCharType="end"/>
        </w:r>
      </w:p>
    </w:sdtContent>
  </w:sdt>
  <w:p w14:paraId="00F51A3B" w14:textId="77777777" w:rsidR="001A2F9C" w:rsidRDefault="001A2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DC234E" w14:paraId="4481A5BB" w14:textId="77777777" w:rsidTr="00204D34">
      <w:trPr>
        <w:trHeight w:val="997"/>
      </w:trPr>
      <w:tc>
        <w:tcPr>
          <w:tcW w:w="3969" w:type="dxa"/>
          <w:vAlign w:val="center"/>
        </w:tcPr>
        <w:p w14:paraId="5F4178B4" w14:textId="77777777" w:rsidR="00DC234E" w:rsidRDefault="00DC234E" w:rsidP="00DC234E">
          <w:pPr>
            <w:pStyle w:val="Footer"/>
            <w:jc w:val="center"/>
          </w:pPr>
          <w:r>
            <w:rPr>
              <w:noProof/>
              <w:color w:val="000080"/>
              <w:sz w:val="14"/>
              <w:lang w:val="sr-Latn-RS" w:eastAsia="sr-Latn-RS"/>
            </w:rPr>
            <w:drawing>
              <wp:inline distT="0" distB="0" distL="0" distR="0" wp14:anchorId="3CBFD74B" wp14:editId="26B3225A">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4139A2D3" wp14:editId="5B28411B">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6DC07B69" w14:textId="77777777" w:rsidR="00DC234E" w:rsidRDefault="00DC234E" w:rsidP="00DC234E">
          <w:pPr>
            <w:pStyle w:val="Footer"/>
          </w:pPr>
          <w:r>
            <w:rPr>
              <w:noProof/>
              <w:lang w:val="sr-Latn-RS" w:eastAsia="sr-Latn-RS"/>
            </w:rPr>
            <w:drawing>
              <wp:inline distT="0" distB="0" distL="0" distR="0" wp14:anchorId="32569B73" wp14:editId="3F96612C">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0C4B6C2D" w14:textId="77777777" w:rsidR="00DC234E" w:rsidRDefault="00DC234E" w:rsidP="00DC234E">
          <w:pPr>
            <w:pStyle w:val="Footer"/>
            <w:jc w:val="right"/>
          </w:pPr>
          <w:r>
            <w:rPr>
              <w:noProof/>
              <w:lang w:val="sr-Latn-RS" w:eastAsia="sr-Latn-RS"/>
            </w:rPr>
            <w:drawing>
              <wp:inline distT="0" distB="0" distL="0" distR="0" wp14:anchorId="071A9906" wp14:editId="226D2BF6">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B909" w14:textId="77777777" w:rsidR="007F7752" w:rsidRDefault="007F7752" w:rsidP="008B7759">
      <w:r>
        <w:separator/>
      </w:r>
    </w:p>
  </w:footnote>
  <w:footnote w:type="continuationSeparator" w:id="0">
    <w:p w14:paraId="1FD9AEE1" w14:textId="77777777" w:rsidR="007F7752" w:rsidRDefault="007F7752"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5E45" w14:textId="77777777" w:rsidR="004E1AE9" w:rsidRDefault="004E1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DB32" w14:textId="77777777" w:rsidR="004E1AE9" w:rsidRDefault="004E1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DC234E" w14:paraId="5A9C7BD2" w14:textId="77777777" w:rsidTr="00204D34">
      <w:trPr>
        <w:trHeight w:val="1567"/>
      </w:trPr>
      <w:tc>
        <w:tcPr>
          <w:tcW w:w="1951" w:type="dxa"/>
          <w:vAlign w:val="center"/>
        </w:tcPr>
        <w:p w14:paraId="2083CE94" w14:textId="77777777" w:rsidR="00DC234E" w:rsidRDefault="00DC234E" w:rsidP="00DC234E">
          <w:pPr>
            <w:pStyle w:val="Header"/>
            <w:rPr>
              <w:noProof/>
            </w:rPr>
          </w:pPr>
          <w:r>
            <w:rPr>
              <w:noProof/>
              <w:lang w:val="sr-Latn-RS" w:eastAsia="sr-Latn-RS"/>
            </w:rPr>
            <w:drawing>
              <wp:inline distT="0" distB="0" distL="0" distR="0" wp14:anchorId="404705EC" wp14:editId="7FBB1861">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B98BC09" w14:textId="6EBD7D70" w:rsidR="00DC234E" w:rsidRPr="00902959" w:rsidRDefault="00DC234E" w:rsidP="00DC234E">
          <w:pPr>
            <w:pStyle w:val="Header"/>
            <w:rPr>
              <w:b/>
              <w:bCs/>
              <w:noProof/>
              <w:color w:val="008000"/>
              <w:sz w:val="24"/>
              <w:szCs w:val="24"/>
              <w:lang w:val="mk-MK"/>
            </w:rPr>
          </w:pPr>
          <w:r w:rsidRPr="00BD248D">
            <w:rPr>
              <w:b/>
              <w:bCs/>
              <w:noProof/>
              <w:color w:val="008000"/>
              <w:sz w:val="24"/>
              <w:szCs w:val="24"/>
            </w:rPr>
            <w:t xml:space="preserve">Зелен </w:t>
          </w:r>
          <w:r>
            <w:rPr>
              <w:b/>
              <w:bCs/>
              <w:noProof/>
              <w:color w:val="008000"/>
              <w:sz w:val="24"/>
              <w:szCs w:val="24"/>
              <w:lang w:val="mk-MK"/>
            </w:rPr>
            <w:t>пат</w:t>
          </w:r>
        </w:p>
        <w:p w14:paraId="2D728EEB" w14:textId="77777777" w:rsidR="00DC234E" w:rsidRPr="00902959" w:rsidRDefault="00DC234E" w:rsidP="00DC234E">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1EE1ABB5" w14:textId="77777777" w:rsidR="00DC234E" w:rsidRPr="00BD248D" w:rsidRDefault="00DC234E" w:rsidP="00DC234E">
          <w:pPr>
            <w:pStyle w:val="Header"/>
            <w:jc w:val="right"/>
            <w:rPr>
              <w:b/>
              <w:bCs/>
              <w:noProof/>
              <w:color w:val="003399"/>
              <w:sz w:val="28"/>
              <w:szCs w:val="28"/>
            </w:rPr>
          </w:pPr>
          <w:r w:rsidRPr="00BD248D">
            <w:rPr>
              <w:b/>
              <w:bCs/>
              <w:noProof/>
              <w:color w:val="003399"/>
              <w:sz w:val="28"/>
              <w:szCs w:val="28"/>
            </w:rPr>
            <w:t>Еразмус+</w:t>
          </w:r>
        </w:p>
        <w:p w14:paraId="52850C87" w14:textId="77777777" w:rsidR="00DC234E" w:rsidRPr="00902959" w:rsidRDefault="00DC234E" w:rsidP="00DC234E">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553E85B6" w14:textId="77777777" w:rsidR="00DC234E" w:rsidRPr="00BD248D" w:rsidRDefault="00DC234E" w:rsidP="00DC234E">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63622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64CE0"/>
    <w:rsid w:val="0007464B"/>
    <w:rsid w:val="00076595"/>
    <w:rsid w:val="00083F4F"/>
    <w:rsid w:val="00084E8C"/>
    <w:rsid w:val="00085F5F"/>
    <w:rsid w:val="000948BA"/>
    <w:rsid w:val="00095201"/>
    <w:rsid w:val="000A31CC"/>
    <w:rsid w:val="000B18BC"/>
    <w:rsid w:val="000C0CD2"/>
    <w:rsid w:val="000D4CA8"/>
    <w:rsid w:val="000D712C"/>
    <w:rsid w:val="000E00E3"/>
    <w:rsid w:val="000E2224"/>
    <w:rsid w:val="000E5568"/>
    <w:rsid w:val="000F35E5"/>
    <w:rsid w:val="000F5605"/>
    <w:rsid w:val="000F6A1E"/>
    <w:rsid w:val="00101A21"/>
    <w:rsid w:val="00111462"/>
    <w:rsid w:val="00115D09"/>
    <w:rsid w:val="00116254"/>
    <w:rsid w:val="0012103A"/>
    <w:rsid w:val="001221FB"/>
    <w:rsid w:val="001247DC"/>
    <w:rsid w:val="00124B75"/>
    <w:rsid w:val="0012618B"/>
    <w:rsid w:val="00127D35"/>
    <w:rsid w:val="001301F7"/>
    <w:rsid w:val="0014142F"/>
    <w:rsid w:val="00147025"/>
    <w:rsid w:val="00150864"/>
    <w:rsid w:val="0015215F"/>
    <w:rsid w:val="001521D8"/>
    <w:rsid w:val="001521F5"/>
    <w:rsid w:val="00161144"/>
    <w:rsid w:val="001622A1"/>
    <w:rsid w:val="00174C52"/>
    <w:rsid w:val="001837B4"/>
    <w:rsid w:val="001849C6"/>
    <w:rsid w:val="00186090"/>
    <w:rsid w:val="001A2F9C"/>
    <w:rsid w:val="001A5EA9"/>
    <w:rsid w:val="001A74AF"/>
    <w:rsid w:val="001A74C0"/>
    <w:rsid w:val="001B5FE5"/>
    <w:rsid w:val="001B6528"/>
    <w:rsid w:val="001B7D3E"/>
    <w:rsid w:val="001D5581"/>
    <w:rsid w:val="001E01FD"/>
    <w:rsid w:val="001E31E0"/>
    <w:rsid w:val="001E3792"/>
    <w:rsid w:val="001E4156"/>
    <w:rsid w:val="001F70AA"/>
    <w:rsid w:val="002005BC"/>
    <w:rsid w:val="00201506"/>
    <w:rsid w:val="00203FD0"/>
    <w:rsid w:val="00207248"/>
    <w:rsid w:val="002139CA"/>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F2115"/>
    <w:rsid w:val="003009B0"/>
    <w:rsid w:val="0030161C"/>
    <w:rsid w:val="00310E70"/>
    <w:rsid w:val="00313D4E"/>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A118B"/>
    <w:rsid w:val="003B18A0"/>
    <w:rsid w:val="003B25FF"/>
    <w:rsid w:val="003B4318"/>
    <w:rsid w:val="003B7F7A"/>
    <w:rsid w:val="003C2B93"/>
    <w:rsid w:val="003C3875"/>
    <w:rsid w:val="003C5024"/>
    <w:rsid w:val="003C6408"/>
    <w:rsid w:val="003D21A7"/>
    <w:rsid w:val="003D4703"/>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10AA"/>
    <w:rsid w:val="00472070"/>
    <w:rsid w:val="00473774"/>
    <w:rsid w:val="00474B0F"/>
    <w:rsid w:val="004754BA"/>
    <w:rsid w:val="00480E1A"/>
    <w:rsid w:val="00481427"/>
    <w:rsid w:val="004850C0"/>
    <w:rsid w:val="004862DC"/>
    <w:rsid w:val="00487DE0"/>
    <w:rsid w:val="0049386D"/>
    <w:rsid w:val="004B21F2"/>
    <w:rsid w:val="004B6203"/>
    <w:rsid w:val="004C2527"/>
    <w:rsid w:val="004C488A"/>
    <w:rsid w:val="004D1CD7"/>
    <w:rsid w:val="004D392B"/>
    <w:rsid w:val="004E1AE9"/>
    <w:rsid w:val="004E7665"/>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2324"/>
    <w:rsid w:val="00704590"/>
    <w:rsid w:val="007048E3"/>
    <w:rsid w:val="007059FC"/>
    <w:rsid w:val="00710D1D"/>
    <w:rsid w:val="007134F4"/>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3E16"/>
    <w:rsid w:val="007560C1"/>
    <w:rsid w:val="007575E4"/>
    <w:rsid w:val="00760E83"/>
    <w:rsid w:val="00761AF7"/>
    <w:rsid w:val="0076215A"/>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7F7752"/>
    <w:rsid w:val="00801071"/>
    <w:rsid w:val="00803F9D"/>
    <w:rsid w:val="00812D6F"/>
    <w:rsid w:val="00813521"/>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B0AEB"/>
    <w:rsid w:val="008B3D03"/>
    <w:rsid w:val="008B53FC"/>
    <w:rsid w:val="008B5FC3"/>
    <w:rsid w:val="008B7759"/>
    <w:rsid w:val="008C2525"/>
    <w:rsid w:val="008C32DF"/>
    <w:rsid w:val="008E2484"/>
    <w:rsid w:val="008F199F"/>
    <w:rsid w:val="00903663"/>
    <w:rsid w:val="0091117F"/>
    <w:rsid w:val="0091348E"/>
    <w:rsid w:val="00914007"/>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C13"/>
    <w:rsid w:val="00A214EB"/>
    <w:rsid w:val="00A23D35"/>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454C"/>
    <w:rsid w:val="00B34A89"/>
    <w:rsid w:val="00B36C15"/>
    <w:rsid w:val="00B375ED"/>
    <w:rsid w:val="00B4310A"/>
    <w:rsid w:val="00B5280B"/>
    <w:rsid w:val="00B56DFC"/>
    <w:rsid w:val="00B60E5A"/>
    <w:rsid w:val="00B63A83"/>
    <w:rsid w:val="00B645E6"/>
    <w:rsid w:val="00B65C0F"/>
    <w:rsid w:val="00B701D0"/>
    <w:rsid w:val="00B70A61"/>
    <w:rsid w:val="00B731C0"/>
    <w:rsid w:val="00B76DDB"/>
    <w:rsid w:val="00B77605"/>
    <w:rsid w:val="00B8041F"/>
    <w:rsid w:val="00B81FB7"/>
    <w:rsid w:val="00B825D7"/>
    <w:rsid w:val="00B85DCB"/>
    <w:rsid w:val="00B93352"/>
    <w:rsid w:val="00B96C32"/>
    <w:rsid w:val="00BA3191"/>
    <w:rsid w:val="00BA3949"/>
    <w:rsid w:val="00BA6822"/>
    <w:rsid w:val="00BA6900"/>
    <w:rsid w:val="00BB0229"/>
    <w:rsid w:val="00BB02EE"/>
    <w:rsid w:val="00BB0343"/>
    <w:rsid w:val="00BC2E65"/>
    <w:rsid w:val="00BC750F"/>
    <w:rsid w:val="00BD0F67"/>
    <w:rsid w:val="00BD248D"/>
    <w:rsid w:val="00BD7EEA"/>
    <w:rsid w:val="00BE4159"/>
    <w:rsid w:val="00BF328B"/>
    <w:rsid w:val="00C008FA"/>
    <w:rsid w:val="00C038D8"/>
    <w:rsid w:val="00C068F8"/>
    <w:rsid w:val="00C06B14"/>
    <w:rsid w:val="00C10C16"/>
    <w:rsid w:val="00C10FF6"/>
    <w:rsid w:val="00C13CD3"/>
    <w:rsid w:val="00C169EC"/>
    <w:rsid w:val="00C21494"/>
    <w:rsid w:val="00C22269"/>
    <w:rsid w:val="00C23800"/>
    <w:rsid w:val="00C23A11"/>
    <w:rsid w:val="00C2729A"/>
    <w:rsid w:val="00C32131"/>
    <w:rsid w:val="00C33805"/>
    <w:rsid w:val="00C34AFA"/>
    <w:rsid w:val="00C35DD2"/>
    <w:rsid w:val="00C410EF"/>
    <w:rsid w:val="00C45538"/>
    <w:rsid w:val="00C514E7"/>
    <w:rsid w:val="00C622B9"/>
    <w:rsid w:val="00C815C9"/>
    <w:rsid w:val="00C85410"/>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309E"/>
    <w:rsid w:val="00CD3C18"/>
    <w:rsid w:val="00CD588D"/>
    <w:rsid w:val="00CE033E"/>
    <w:rsid w:val="00CE18EC"/>
    <w:rsid w:val="00CE5269"/>
    <w:rsid w:val="00CE5C42"/>
    <w:rsid w:val="00CE6CAF"/>
    <w:rsid w:val="00CF01A5"/>
    <w:rsid w:val="00CF2E18"/>
    <w:rsid w:val="00CF2F80"/>
    <w:rsid w:val="00D023D0"/>
    <w:rsid w:val="00D04643"/>
    <w:rsid w:val="00D04E9C"/>
    <w:rsid w:val="00D10E73"/>
    <w:rsid w:val="00D126E9"/>
    <w:rsid w:val="00D146A4"/>
    <w:rsid w:val="00D20C2A"/>
    <w:rsid w:val="00D215DC"/>
    <w:rsid w:val="00D21D64"/>
    <w:rsid w:val="00D260E6"/>
    <w:rsid w:val="00D270ED"/>
    <w:rsid w:val="00D374A9"/>
    <w:rsid w:val="00D5125C"/>
    <w:rsid w:val="00D536A5"/>
    <w:rsid w:val="00D537C9"/>
    <w:rsid w:val="00D6019D"/>
    <w:rsid w:val="00D70625"/>
    <w:rsid w:val="00D723E1"/>
    <w:rsid w:val="00D80DF7"/>
    <w:rsid w:val="00D8406E"/>
    <w:rsid w:val="00D85498"/>
    <w:rsid w:val="00D85D2F"/>
    <w:rsid w:val="00DB2906"/>
    <w:rsid w:val="00DB52DD"/>
    <w:rsid w:val="00DC205A"/>
    <w:rsid w:val="00DC234E"/>
    <w:rsid w:val="00DC4195"/>
    <w:rsid w:val="00DC47E5"/>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77B0"/>
    <w:rsid w:val="00E330D1"/>
    <w:rsid w:val="00E41E4E"/>
    <w:rsid w:val="00E42B36"/>
    <w:rsid w:val="00E51FCE"/>
    <w:rsid w:val="00E548A1"/>
    <w:rsid w:val="00E5521D"/>
    <w:rsid w:val="00E56BA7"/>
    <w:rsid w:val="00E64B30"/>
    <w:rsid w:val="00E7197E"/>
    <w:rsid w:val="00E7271D"/>
    <w:rsid w:val="00E731BD"/>
    <w:rsid w:val="00E74069"/>
    <w:rsid w:val="00E86911"/>
    <w:rsid w:val="00E87F55"/>
    <w:rsid w:val="00E904AA"/>
    <w:rsid w:val="00E958C4"/>
    <w:rsid w:val="00EA030D"/>
    <w:rsid w:val="00EA3924"/>
    <w:rsid w:val="00EA5495"/>
    <w:rsid w:val="00EA7E74"/>
    <w:rsid w:val="00EB74BB"/>
    <w:rsid w:val="00ED19DC"/>
    <w:rsid w:val="00ED2726"/>
    <w:rsid w:val="00EE022F"/>
    <w:rsid w:val="00EE4C63"/>
    <w:rsid w:val="00EF32F4"/>
    <w:rsid w:val="00EF62F1"/>
    <w:rsid w:val="00EF6FCA"/>
    <w:rsid w:val="00F0537C"/>
    <w:rsid w:val="00F05BAE"/>
    <w:rsid w:val="00F100D9"/>
    <w:rsid w:val="00F11019"/>
    <w:rsid w:val="00F134C1"/>
    <w:rsid w:val="00F13B8C"/>
    <w:rsid w:val="00F15696"/>
    <w:rsid w:val="00F15E49"/>
    <w:rsid w:val="00F21B21"/>
    <w:rsid w:val="00F21CA1"/>
    <w:rsid w:val="00F240C1"/>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56FE"/>
    <w:rsid w:val="00FB1815"/>
    <w:rsid w:val="00FC5BEF"/>
    <w:rsid w:val="00FD5ADD"/>
    <w:rsid w:val="00FD72E1"/>
    <w:rsid w:val="00FE3BFC"/>
    <w:rsid w:val="00F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nvironment.ec.europa.eu/app/ecolabel-product-catalogu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dm.rs/inspiracija-i-savet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environment.ec.europa.eu/topics/circular-economy/eu-ecolabel_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5" Type="http://schemas.openxmlformats.org/officeDocument/2006/relationships/image" Target="cid:ii_lztljj5r3" TargetMode="External"/><Relationship Id="rId4"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Изберете ставка.</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Изберете ставка.</w:t>
          </w:r>
        </w:p>
      </w:docPartBody>
    </w:docPart>
    <w:docPart>
      <w:docPartPr>
        <w:name w:val="638680EF949D40D6A415342A8F818121"/>
        <w:category>
          <w:name w:val="Opšte"/>
          <w:gallery w:val="placeholder"/>
        </w:category>
        <w:types>
          <w:type w:val="bbPlcHdr"/>
        </w:types>
        <w:behaviors>
          <w:behavior w:val="content"/>
        </w:behaviors>
        <w:guid w:val="{97C75789-077B-45CD-8CAC-6C9F45F12FF2}"/>
      </w:docPartPr>
      <w:docPartBody>
        <w:p w:rsidR="008C1F90" w:rsidRDefault="00C2673B" w:rsidP="00C2673B">
          <w:pPr>
            <w:pStyle w:val="638680EF949D40D6A415342A8F818121"/>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5CA8"/>
    <w:rsid w:val="00034997"/>
    <w:rsid w:val="00047625"/>
    <w:rsid w:val="000612A9"/>
    <w:rsid w:val="000701E8"/>
    <w:rsid w:val="00090C24"/>
    <w:rsid w:val="000A3D24"/>
    <w:rsid w:val="000B18BC"/>
    <w:rsid w:val="000C6560"/>
    <w:rsid w:val="000E2F62"/>
    <w:rsid w:val="001301F7"/>
    <w:rsid w:val="0015172F"/>
    <w:rsid w:val="00175363"/>
    <w:rsid w:val="001837B4"/>
    <w:rsid w:val="001A5373"/>
    <w:rsid w:val="001A6BDF"/>
    <w:rsid w:val="001B5A95"/>
    <w:rsid w:val="00200518"/>
    <w:rsid w:val="00203FD0"/>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5512A"/>
    <w:rsid w:val="00470BD5"/>
    <w:rsid w:val="004710AA"/>
    <w:rsid w:val="004A3FA8"/>
    <w:rsid w:val="004A49DA"/>
    <w:rsid w:val="004B396C"/>
    <w:rsid w:val="004B3FAA"/>
    <w:rsid w:val="004C48EF"/>
    <w:rsid w:val="004D3F7E"/>
    <w:rsid w:val="004D41D7"/>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3309"/>
    <w:rsid w:val="005F199E"/>
    <w:rsid w:val="0061142A"/>
    <w:rsid w:val="00642E76"/>
    <w:rsid w:val="006A219B"/>
    <w:rsid w:val="006B1BBB"/>
    <w:rsid w:val="006C1084"/>
    <w:rsid w:val="006C475D"/>
    <w:rsid w:val="006C595D"/>
    <w:rsid w:val="006E2E6C"/>
    <w:rsid w:val="006F38A2"/>
    <w:rsid w:val="00707E40"/>
    <w:rsid w:val="007478CA"/>
    <w:rsid w:val="00782A89"/>
    <w:rsid w:val="007B5A0C"/>
    <w:rsid w:val="007C3BA8"/>
    <w:rsid w:val="007C623E"/>
    <w:rsid w:val="007D6770"/>
    <w:rsid w:val="008037A8"/>
    <w:rsid w:val="00826717"/>
    <w:rsid w:val="008320F5"/>
    <w:rsid w:val="0083563C"/>
    <w:rsid w:val="00836683"/>
    <w:rsid w:val="00844DE2"/>
    <w:rsid w:val="00845B4A"/>
    <w:rsid w:val="00854325"/>
    <w:rsid w:val="00863F3B"/>
    <w:rsid w:val="008B3D03"/>
    <w:rsid w:val="008C01BF"/>
    <w:rsid w:val="008C1F90"/>
    <w:rsid w:val="009001BE"/>
    <w:rsid w:val="00903663"/>
    <w:rsid w:val="00961ECC"/>
    <w:rsid w:val="00990F7B"/>
    <w:rsid w:val="009A1488"/>
    <w:rsid w:val="009B18C5"/>
    <w:rsid w:val="009C5D0B"/>
    <w:rsid w:val="00A1728F"/>
    <w:rsid w:val="00A50A52"/>
    <w:rsid w:val="00A62DCC"/>
    <w:rsid w:val="00A64278"/>
    <w:rsid w:val="00A9515B"/>
    <w:rsid w:val="00A97703"/>
    <w:rsid w:val="00AD064C"/>
    <w:rsid w:val="00B2030A"/>
    <w:rsid w:val="00B2035F"/>
    <w:rsid w:val="00B4310A"/>
    <w:rsid w:val="00B600EE"/>
    <w:rsid w:val="00B63A83"/>
    <w:rsid w:val="00B65C0F"/>
    <w:rsid w:val="00B712D7"/>
    <w:rsid w:val="00B74B9B"/>
    <w:rsid w:val="00BB0229"/>
    <w:rsid w:val="00BE2BAC"/>
    <w:rsid w:val="00C13CD3"/>
    <w:rsid w:val="00C22269"/>
    <w:rsid w:val="00C2673B"/>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21D64"/>
    <w:rsid w:val="00D51983"/>
    <w:rsid w:val="00D63221"/>
    <w:rsid w:val="00D8406E"/>
    <w:rsid w:val="00DA5B9E"/>
    <w:rsid w:val="00DB1C16"/>
    <w:rsid w:val="00DB417D"/>
    <w:rsid w:val="00DB7C2A"/>
    <w:rsid w:val="00E22053"/>
    <w:rsid w:val="00E25EA1"/>
    <w:rsid w:val="00E277B0"/>
    <w:rsid w:val="00E71686"/>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73B"/>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638680EF949D40D6A415342A8F818121">
    <w:name w:val="638680EF949D40D6A415342A8F818121"/>
    <w:rsid w:val="00C2673B"/>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B1D5D-FE16-4200-A01A-36CC20D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15</cp:revision>
  <cp:lastPrinted>2025-01-02T09:22:00Z</cp:lastPrinted>
  <dcterms:created xsi:type="dcterms:W3CDTF">2025-02-06T07:58:00Z</dcterms:created>
  <dcterms:modified xsi:type="dcterms:W3CDTF">2025-05-12T10:29:00Z</dcterms:modified>
</cp:coreProperties>
</file>